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3026" w14:textId="77777777" w:rsidR="005D37C9" w:rsidRDefault="005D37C9" w:rsidP="005D37C9">
      <w:pPr>
        <w:spacing w:after="120"/>
        <w:jc w:val="center"/>
      </w:pPr>
      <w:r w:rsidRPr="00B01BD3">
        <w:rPr>
          <w:rFonts w:asciiTheme="minorHAnsi" w:hAnsiTheme="minorHAnsi" w:cstheme="minorHAnsi"/>
          <w:noProof/>
          <w:sz w:val="28"/>
          <w:szCs w:val="28"/>
          <w:lang w:val="nl-BE" w:eastAsia="nl-BE"/>
        </w:rPr>
        <w:drawing>
          <wp:inline distT="0" distB="0" distL="0" distR="0" wp14:anchorId="1DAB80F7" wp14:editId="577F4059">
            <wp:extent cx="4222800" cy="853200"/>
            <wp:effectExtent l="0" t="0" r="6350" b="4445"/>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00" cy="853200"/>
                    </a:xfrm>
                    <a:prstGeom prst="rect">
                      <a:avLst/>
                    </a:prstGeom>
                  </pic:spPr>
                </pic:pic>
              </a:graphicData>
            </a:graphic>
          </wp:inline>
        </w:drawing>
      </w:r>
    </w:p>
    <w:tbl>
      <w:tblPr>
        <w:tblStyle w:val="TableGrid"/>
        <w:tblW w:w="9073" w:type="dxa"/>
        <w:tblInd w:w="-289"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9073"/>
      </w:tblGrid>
      <w:tr w:rsidR="00631695" w:rsidRPr="00B01BD3" w14:paraId="243A2E14" w14:textId="77777777" w:rsidTr="00631695">
        <w:tc>
          <w:tcPr>
            <w:tcW w:w="9073" w:type="dxa"/>
          </w:tcPr>
          <w:p w14:paraId="2604E10B" w14:textId="77777777" w:rsidR="00631695" w:rsidRPr="00B01BD3" w:rsidRDefault="00631695" w:rsidP="005D37C9">
            <w:pPr>
              <w:pStyle w:val="Heading1"/>
              <w:jc w:val="center"/>
              <w:rPr>
                <w:rFonts w:asciiTheme="minorHAnsi" w:hAnsiTheme="minorHAnsi" w:cstheme="minorHAnsi"/>
                <w:sz w:val="22"/>
                <w:szCs w:val="22"/>
                <w:u w:val="none"/>
              </w:rPr>
            </w:pPr>
            <w:r w:rsidRPr="00B01BD3">
              <w:rPr>
                <w:rFonts w:asciiTheme="minorHAnsi" w:hAnsiTheme="minorHAnsi" w:cstheme="minorHAnsi"/>
                <w:sz w:val="22"/>
                <w:szCs w:val="22"/>
                <w:u w:val="none"/>
              </w:rPr>
              <w:t>Règlement en matière de formation permanente</w:t>
            </w:r>
          </w:p>
        </w:tc>
      </w:tr>
      <w:tr w:rsidR="00631695" w:rsidRPr="00B01BD3" w14:paraId="2D7FE3D6" w14:textId="77777777" w:rsidTr="00631695">
        <w:tc>
          <w:tcPr>
            <w:tcW w:w="9073" w:type="dxa"/>
          </w:tcPr>
          <w:p w14:paraId="7BF2D26F" w14:textId="0B1F3F31" w:rsidR="00631695" w:rsidRPr="00B01BD3" w:rsidRDefault="00631695" w:rsidP="00710E29">
            <w:pPr>
              <w:pStyle w:val="BodyText2"/>
              <w:rPr>
                <w:rFonts w:asciiTheme="minorHAnsi" w:hAnsiTheme="minorHAnsi" w:cstheme="minorHAnsi"/>
                <w:i w:val="0"/>
                <w:iCs w:val="0"/>
                <w:szCs w:val="22"/>
              </w:rPr>
            </w:pPr>
            <w:r w:rsidRPr="00B01BD3">
              <w:rPr>
                <w:rFonts w:asciiTheme="minorHAnsi" w:hAnsiTheme="minorHAnsi" w:cstheme="minorHAnsi"/>
                <w:szCs w:val="22"/>
              </w:rPr>
              <w:t xml:space="preserve">Adopté par l’assemblée générale de la Chambre nationale des notaires du 24 avril 2007 et modifié par l’assemblée générale du 22 janvier 2008,  l’assemblée générale du 20 janvier 2009, l’assemblée générale du 28 avril 2016, l’assemblée générale du 24 janvier 2019 et l’assemblée générale du 22 juin 2023, approuvé par A.R. du </w:t>
            </w:r>
            <w:r>
              <w:rPr>
                <w:rFonts w:asciiTheme="minorHAnsi" w:hAnsiTheme="minorHAnsi" w:cstheme="minorHAnsi"/>
                <w:szCs w:val="22"/>
              </w:rPr>
              <w:t>…</w:t>
            </w:r>
          </w:p>
        </w:tc>
      </w:tr>
      <w:tr w:rsidR="00631695" w:rsidRPr="00B01BD3" w14:paraId="616D649B" w14:textId="77777777" w:rsidTr="00631695">
        <w:tc>
          <w:tcPr>
            <w:tcW w:w="9073" w:type="dxa"/>
          </w:tcPr>
          <w:p w14:paraId="24B8D26D" w14:textId="77777777" w:rsidR="00631695" w:rsidRPr="00B01BD3" w:rsidRDefault="00631695" w:rsidP="005D37C9">
            <w:pPr>
              <w:jc w:val="both"/>
              <w:rPr>
                <w:rFonts w:asciiTheme="minorHAnsi" w:hAnsiTheme="minorHAnsi" w:cstheme="minorHAnsi"/>
                <w:b/>
                <w:bCs/>
                <w:sz w:val="22"/>
                <w:szCs w:val="22"/>
                <w:lang w:val="fr-FR"/>
              </w:rPr>
            </w:pPr>
            <w:r w:rsidRPr="00B01BD3">
              <w:rPr>
                <w:rFonts w:asciiTheme="minorHAnsi" w:hAnsiTheme="minorHAnsi" w:cstheme="minorHAnsi"/>
                <w:b/>
                <w:bCs/>
                <w:sz w:val="22"/>
                <w:szCs w:val="22"/>
                <w:lang w:val="fr-FR"/>
              </w:rPr>
              <w:t>Article 1</w:t>
            </w:r>
            <w:r w:rsidRPr="00B01BD3">
              <w:rPr>
                <w:rFonts w:asciiTheme="minorHAnsi" w:hAnsiTheme="minorHAnsi" w:cstheme="minorHAnsi"/>
                <w:b/>
                <w:bCs/>
                <w:sz w:val="22"/>
                <w:szCs w:val="22"/>
                <w:vertAlign w:val="superscript"/>
                <w:lang w:val="fr-FR"/>
              </w:rPr>
              <w:t>er</w:t>
            </w:r>
            <w:r w:rsidRPr="00B01BD3">
              <w:rPr>
                <w:rFonts w:asciiTheme="minorHAnsi" w:hAnsiTheme="minorHAnsi" w:cstheme="minorHAnsi"/>
                <w:b/>
                <w:bCs/>
                <w:sz w:val="22"/>
                <w:szCs w:val="22"/>
                <w:lang w:val="fr-FR"/>
              </w:rPr>
              <w:t>. Objet - Objectif - Obligation</w:t>
            </w:r>
          </w:p>
        </w:tc>
      </w:tr>
      <w:tr w:rsidR="00631695" w:rsidRPr="00B01BD3" w14:paraId="06A1026C" w14:textId="77777777" w:rsidTr="00631695">
        <w:tc>
          <w:tcPr>
            <w:tcW w:w="9073" w:type="dxa"/>
          </w:tcPr>
          <w:p w14:paraId="31899835" w14:textId="0184C9EA" w:rsidR="00631695" w:rsidRPr="00B01BD3" w:rsidRDefault="00631695" w:rsidP="00710E29">
            <w:pPr>
              <w:pStyle w:val="BodyText"/>
              <w:rPr>
                <w:rFonts w:asciiTheme="minorHAnsi" w:hAnsiTheme="minorHAnsi" w:cstheme="minorHAnsi"/>
                <w:sz w:val="22"/>
                <w:szCs w:val="22"/>
              </w:rPr>
            </w:pPr>
            <w:r w:rsidRPr="00B01BD3">
              <w:rPr>
                <w:rFonts w:asciiTheme="minorHAnsi" w:hAnsiTheme="minorHAnsi" w:cstheme="minorHAnsi"/>
                <w:sz w:val="22"/>
                <w:szCs w:val="22"/>
              </w:rPr>
              <w:t>Ce règlement est édicté en application de l’article 91, alinéa 1</w:t>
            </w:r>
            <w:r w:rsidRPr="00B01BD3">
              <w:rPr>
                <w:rFonts w:asciiTheme="minorHAnsi" w:hAnsiTheme="minorHAnsi" w:cstheme="minorHAnsi"/>
                <w:sz w:val="22"/>
                <w:szCs w:val="22"/>
                <w:vertAlign w:val="superscript"/>
              </w:rPr>
              <w:t>er</w:t>
            </w:r>
            <w:r w:rsidRPr="00B01BD3">
              <w:rPr>
                <w:rFonts w:asciiTheme="minorHAnsi" w:hAnsiTheme="minorHAnsi" w:cstheme="minorHAnsi"/>
                <w:sz w:val="22"/>
                <w:szCs w:val="22"/>
              </w:rPr>
              <w:t>, 5°, de la loi  contenant organisation du notariat.</w:t>
            </w:r>
          </w:p>
        </w:tc>
      </w:tr>
      <w:tr w:rsidR="00631695" w:rsidRPr="00B01BD3" w14:paraId="50D6393E" w14:textId="77777777" w:rsidTr="00631695">
        <w:tc>
          <w:tcPr>
            <w:tcW w:w="9073" w:type="dxa"/>
          </w:tcPr>
          <w:p w14:paraId="4FF6F9B3" w14:textId="77777777" w:rsidR="00631695" w:rsidRPr="00B01BD3" w:rsidRDefault="00631695" w:rsidP="00DA775C">
            <w:pPr>
              <w:pStyle w:val="BodyText"/>
              <w:rPr>
                <w:rFonts w:asciiTheme="minorHAnsi" w:hAnsiTheme="minorHAnsi" w:cstheme="minorHAnsi"/>
                <w:sz w:val="22"/>
                <w:szCs w:val="22"/>
              </w:rPr>
            </w:pPr>
            <w:r w:rsidRPr="00B01BD3">
              <w:rPr>
                <w:rFonts w:asciiTheme="minorHAnsi" w:hAnsiTheme="minorHAnsi" w:cstheme="minorHAnsi"/>
                <w:sz w:val="22"/>
                <w:szCs w:val="22"/>
              </w:rPr>
              <w:t>La formation permanente a pour objectif de maintenir et promouvoir la qualité.</w:t>
            </w:r>
          </w:p>
        </w:tc>
      </w:tr>
      <w:tr w:rsidR="00631695" w:rsidRPr="00B01BD3" w14:paraId="0BCD1434" w14:textId="77777777" w:rsidTr="00631695">
        <w:tc>
          <w:tcPr>
            <w:tcW w:w="9073" w:type="dxa"/>
          </w:tcPr>
          <w:p w14:paraId="65691810" w14:textId="6D930586" w:rsidR="00631695" w:rsidRPr="00B01BD3" w:rsidRDefault="00631695" w:rsidP="00374DEE">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L’obligation de formation constitue une obligation déontologique pour chaque notaire et chaque candidat-notaire repris au tableau visé à l’article 77 de la loi contenant organisation du notariat.</w:t>
            </w:r>
          </w:p>
        </w:tc>
      </w:tr>
      <w:tr w:rsidR="00631695" w:rsidRPr="00B01BD3" w14:paraId="246E4BA3" w14:textId="77777777" w:rsidTr="00631695">
        <w:tc>
          <w:tcPr>
            <w:tcW w:w="9073" w:type="dxa"/>
          </w:tcPr>
          <w:p w14:paraId="694C0525" w14:textId="693BB81B" w:rsidR="00631695" w:rsidRPr="00B01BD3" w:rsidDel="00AC3320" w:rsidRDefault="00631695" w:rsidP="00DA775C">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 xml:space="preserve">Une formation agréée en management notarial comme prévu à l’article 2, doit être suivie dans le cadre de l’obligation de formation. Cette formation doit avoir été suivie au plus tard dans les </w:t>
            </w:r>
            <w:r>
              <w:rPr>
                <w:rFonts w:asciiTheme="minorHAnsi" w:hAnsiTheme="minorHAnsi" w:cstheme="minorHAnsi"/>
                <w:sz w:val="22"/>
                <w:szCs w:val="22"/>
                <w:lang w:val="fr-FR"/>
              </w:rPr>
              <w:t>quatre</w:t>
            </w:r>
            <w:r w:rsidRPr="00B01BD3">
              <w:rPr>
                <w:rFonts w:asciiTheme="minorHAnsi" w:hAnsiTheme="minorHAnsi" w:cstheme="minorHAnsi"/>
                <w:sz w:val="22"/>
                <w:szCs w:val="22"/>
                <w:lang w:val="fr-FR"/>
              </w:rPr>
              <w:t xml:space="preserve"> ans suivant l’entrée en vigueur de la première nomination ou désignation comme notaire.</w:t>
            </w:r>
          </w:p>
        </w:tc>
      </w:tr>
      <w:tr w:rsidR="00631695" w:rsidRPr="00B01BD3" w14:paraId="0DE0E71F" w14:textId="77777777" w:rsidTr="00631695">
        <w:tc>
          <w:tcPr>
            <w:tcW w:w="9073" w:type="dxa"/>
          </w:tcPr>
          <w:p w14:paraId="13FDE257" w14:textId="33410227" w:rsidR="00631695" w:rsidRPr="00B01BD3" w:rsidRDefault="00631695" w:rsidP="00DA775C">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 xml:space="preserve">L’obligation de formation constitue une obligation pour chaque stagiaire, découlant de ses obligations de stage et de l’obligation de se conformer aux règles relatives au stage décrétées par la Chambre nationale des notaires. </w:t>
            </w:r>
          </w:p>
        </w:tc>
      </w:tr>
      <w:tr w:rsidR="00631695" w:rsidRPr="00B01BD3" w14:paraId="6343F985" w14:textId="77777777" w:rsidTr="00631695">
        <w:tc>
          <w:tcPr>
            <w:tcW w:w="9073" w:type="dxa"/>
          </w:tcPr>
          <w:p w14:paraId="337535BA" w14:textId="062C6043" w:rsidR="00631695" w:rsidRPr="00B01BD3" w:rsidRDefault="00631695" w:rsidP="00473831">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Dans le cadre de son obligation de formation, le stagiaire suit cinq heures de formation pratique en comptabilité agréée.</w:t>
            </w:r>
          </w:p>
          <w:p w14:paraId="246574F1" w14:textId="77777777" w:rsidR="00631695" w:rsidRPr="00B01BD3" w:rsidDel="006E6D52" w:rsidRDefault="00631695" w:rsidP="00DA775C">
            <w:pPr>
              <w:jc w:val="both"/>
              <w:rPr>
                <w:rFonts w:asciiTheme="minorHAnsi" w:hAnsiTheme="minorHAnsi" w:cstheme="minorHAnsi"/>
                <w:sz w:val="22"/>
                <w:szCs w:val="22"/>
                <w:lang w:val="fr-BE"/>
              </w:rPr>
            </w:pPr>
          </w:p>
        </w:tc>
      </w:tr>
      <w:tr w:rsidR="00631695" w:rsidRPr="00B01BD3" w14:paraId="47B3E267" w14:textId="77777777" w:rsidTr="00631695">
        <w:tc>
          <w:tcPr>
            <w:tcW w:w="9073" w:type="dxa"/>
          </w:tcPr>
          <w:p w14:paraId="4AAF71F7" w14:textId="5C743AE2" w:rsidR="00631695" w:rsidRPr="00B01BD3" w:rsidRDefault="00631695" w:rsidP="00DA775C">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L’obligation de formation implique que les notaires, candidats-notaires et stagiaires doivent régulièrement compléter leur formation dans des matières juridiques et autres en rapport avec l’exercice de la profession notariale, notamment :</w:t>
            </w:r>
          </w:p>
        </w:tc>
      </w:tr>
      <w:tr w:rsidR="00631695" w:rsidRPr="00B01BD3" w14:paraId="12CABA5A" w14:textId="77777777" w:rsidTr="00631695">
        <w:tc>
          <w:tcPr>
            <w:tcW w:w="9073" w:type="dxa"/>
          </w:tcPr>
          <w:p w14:paraId="5F386D6C" w14:textId="77777777" w:rsidR="00631695" w:rsidRPr="00B01BD3" w:rsidRDefault="00631695" w:rsidP="00DA775C">
            <w:pPr>
              <w:pStyle w:val="ListParagraph"/>
              <w:numPr>
                <w:ilvl w:val="0"/>
                <w:numId w:val="7"/>
              </w:num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en suivant des cours, des formations sur l’internet et des formations à distance, en assistant à des conférences, en participant à des cercles d’étude et à des congrès ;</w:t>
            </w:r>
          </w:p>
        </w:tc>
      </w:tr>
      <w:tr w:rsidR="00631695" w:rsidRPr="00B01BD3" w14:paraId="28FFBFAB" w14:textId="77777777" w:rsidTr="00631695">
        <w:tc>
          <w:tcPr>
            <w:tcW w:w="9073" w:type="dxa"/>
          </w:tcPr>
          <w:p w14:paraId="0CE0D95F" w14:textId="77777777" w:rsidR="00631695" w:rsidRPr="00B01BD3" w:rsidRDefault="00631695" w:rsidP="00DA775C">
            <w:pPr>
              <w:pStyle w:val="ListParagraph"/>
              <w:numPr>
                <w:ilvl w:val="0"/>
                <w:numId w:val="7"/>
              </w:num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en prenant part à des échanges entre pairs ;</w:t>
            </w:r>
          </w:p>
        </w:tc>
      </w:tr>
      <w:tr w:rsidR="00631695" w:rsidRPr="00B01BD3" w14:paraId="436E7E4C" w14:textId="77777777" w:rsidTr="00631695">
        <w:tc>
          <w:tcPr>
            <w:tcW w:w="9073" w:type="dxa"/>
          </w:tcPr>
          <w:p w14:paraId="2F50A248" w14:textId="77777777" w:rsidR="00631695" w:rsidRPr="00B01BD3" w:rsidRDefault="00631695" w:rsidP="00DA775C">
            <w:pPr>
              <w:pStyle w:val="ListParagraph"/>
              <w:numPr>
                <w:ilvl w:val="0"/>
                <w:numId w:val="4"/>
              </w:num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comme chargé de cours</w:t>
            </w:r>
            <w:r w:rsidRPr="00B01BD3">
              <w:rPr>
                <w:rFonts w:asciiTheme="minorHAnsi" w:hAnsiTheme="minorHAnsi" w:cstheme="minorHAnsi"/>
                <w:sz w:val="22"/>
                <w:szCs w:val="22"/>
                <w:lang w:val="fr-BE"/>
              </w:rPr>
              <w:t xml:space="preserve"> </w:t>
            </w:r>
            <w:r w:rsidRPr="00B01BD3">
              <w:rPr>
                <w:rFonts w:asciiTheme="minorHAnsi" w:hAnsiTheme="minorHAnsi" w:cstheme="minorHAnsi"/>
                <w:sz w:val="22"/>
                <w:szCs w:val="22"/>
                <w:lang w:val="fr-FR"/>
              </w:rPr>
              <w:t>de formations agréées par la Chambre nationale des notaires,</w:t>
            </w:r>
            <w:r w:rsidRPr="00B01BD3">
              <w:rPr>
                <w:rFonts w:asciiTheme="minorHAnsi" w:hAnsiTheme="minorHAnsi" w:cstheme="minorHAnsi"/>
                <w:sz w:val="22"/>
                <w:szCs w:val="22"/>
                <w:lang w:val="fr-BE"/>
              </w:rPr>
              <w:t xml:space="preserve"> </w:t>
            </w:r>
            <w:r w:rsidRPr="00B01BD3">
              <w:rPr>
                <w:rFonts w:asciiTheme="minorHAnsi" w:hAnsiTheme="minorHAnsi" w:cstheme="minorHAnsi"/>
                <w:sz w:val="22"/>
                <w:szCs w:val="22"/>
                <w:lang w:val="fr-FR"/>
              </w:rPr>
              <w:t>de conférences et de cours à caractère juridique qui sont donnés à des professionnels et étudiants d’écoles supérieures et d’universités ;</w:t>
            </w:r>
          </w:p>
        </w:tc>
      </w:tr>
      <w:tr w:rsidR="00631695" w:rsidRPr="00B01BD3" w14:paraId="54232A64" w14:textId="77777777" w:rsidTr="00631695">
        <w:tc>
          <w:tcPr>
            <w:tcW w:w="9073" w:type="dxa"/>
          </w:tcPr>
          <w:p w14:paraId="0FF564A8" w14:textId="77777777" w:rsidR="00631695" w:rsidRPr="00B01BD3" w:rsidRDefault="00631695" w:rsidP="00DA775C">
            <w:pPr>
              <w:pStyle w:val="ListParagraph"/>
              <w:numPr>
                <w:ilvl w:val="0"/>
                <w:numId w:val="4"/>
              </w:num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comme membre d’un comité de rédaction ou en étant actif régulièrement pour des revues juridiques ;</w:t>
            </w:r>
          </w:p>
        </w:tc>
      </w:tr>
      <w:tr w:rsidR="00631695" w:rsidRPr="00B01BD3" w14:paraId="3D0474EB" w14:textId="77777777" w:rsidTr="00631695">
        <w:tc>
          <w:tcPr>
            <w:tcW w:w="9073" w:type="dxa"/>
          </w:tcPr>
          <w:p w14:paraId="74D225E3" w14:textId="77777777" w:rsidR="00631695" w:rsidRPr="00B01BD3" w:rsidRDefault="00631695" w:rsidP="00DA775C">
            <w:pPr>
              <w:pStyle w:val="ListParagraph"/>
              <w:numPr>
                <w:ilvl w:val="0"/>
                <w:numId w:val="4"/>
              </w:num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comme auteur ;</w:t>
            </w:r>
          </w:p>
        </w:tc>
      </w:tr>
      <w:tr w:rsidR="00631695" w:rsidRPr="00B01BD3" w14:paraId="506D67CD" w14:textId="77777777" w:rsidTr="00631695">
        <w:tc>
          <w:tcPr>
            <w:tcW w:w="9073" w:type="dxa"/>
          </w:tcPr>
          <w:p w14:paraId="5C0BEC19" w14:textId="77777777" w:rsidR="00631695" w:rsidRPr="00B01BD3" w:rsidRDefault="00631695" w:rsidP="00DA775C">
            <w:pPr>
              <w:pStyle w:val="ListParagraph"/>
              <w:numPr>
                <w:ilvl w:val="0"/>
                <w:numId w:val="4"/>
              </w:num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lastRenderedPageBreak/>
              <w:t>en étant actif dans des institutions ;</w:t>
            </w:r>
          </w:p>
        </w:tc>
      </w:tr>
      <w:tr w:rsidR="00631695" w:rsidRPr="00B01BD3" w14:paraId="204B374F" w14:textId="77777777" w:rsidTr="00631695">
        <w:tc>
          <w:tcPr>
            <w:tcW w:w="9073" w:type="dxa"/>
          </w:tcPr>
          <w:p w14:paraId="38C2B29E" w14:textId="77777777" w:rsidR="00631695" w:rsidRPr="00B01BD3" w:rsidRDefault="00631695" w:rsidP="00DA775C">
            <w:pPr>
              <w:pStyle w:val="ListParagraph"/>
              <w:numPr>
                <w:ilvl w:val="0"/>
                <w:numId w:val="4"/>
              </w:num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en suivant des cours de longue durée ou spécialisés ;</w:t>
            </w:r>
          </w:p>
        </w:tc>
      </w:tr>
      <w:tr w:rsidR="00631695" w:rsidRPr="00B01BD3" w14:paraId="32893A38" w14:textId="77777777" w:rsidTr="00631695">
        <w:tc>
          <w:tcPr>
            <w:tcW w:w="9073" w:type="dxa"/>
          </w:tcPr>
          <w:p w14:paraId="0602BFEA" w14:textId="77777777" w:rsidR="00631695" w:rsidRPr="00B01BD3" w:rsidRDefault="00631695" w:rsidP="00DA775C">
            <w:pPr>
              <w:pStyle w:val="ListParagraph"/>
              <w:numPr>
                <w:ilvl w:val="0"/>
                <w:numId w:val="4"/>
              </w:num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en suivant des cours à l’étranger.</w:t>
            </w:r>
          </w:p>
        </w:tc>
      </w:tr>
      <w:tr w:rsidR="00631695" w:rsidRPr="00B01BD3" w14:paraId="25C1C160" w14:textId="77777777" w:rsidTr="00631695">
        <w:tc>
          <w:tcPr>
            <w:tcW w:w="9073" w:type="dxa"/>
          </w:tcPr>
          <w:p w14:paraId="59AB900A" w14:textId="77777777" w:rsidR="00631695" w:rsidRPr="00B01BD3" w:rsidRDefault="00631695" w:rsidP="00DA775C">
            <w:pPr>
              <w:jc w:val="both"/>
              <w:rPr>
                <w:rFonts w:asciiTheme="minorHAnsi" w:hAnsiTheme="minorHAnsi" w:cstheme="minorHAnsi"/>
                <w:sz w:val="22"/>
                <w:szCs w:val="22"/>
                <w:u w:val="single"/>
                <w:lang w:val="fr-FR"/>
              </w:rPr>
            </w:pPr>
            <w:r w:rsidRPr="00B01BD3">
              <w:rPr>
                <w:rFonts w:asciiTheme="minorHAnsi" w:hAnsiTheme="minorHAnsi" w:cstheme="minorHAnsi"/>
                <w:sz w:val="22"/>
                <w:szCs w:val="22"/>
                <w:lang w:val="fr-FR"/>
              </w:rPr>
              <w:t>Cette liste n’est pas limitative. L’activité doit présenter une plus-value notariale en termes de contenu et pouvoir être assimilée à une formation permanente.</w:t>
            </w:r>
          </w:p>
        </w:tc>
      </w:tr>
      <w:tr w:rsidR="00631695" w:rsidRPr="00B01BD3" w14:paraId="562F03A5" w14:textId="77777777" w:rsidTr="00631695">
        <w:tc>
          <w:tcPr>
            <w:tcW w:w="9073" w:type="dxa"/>
          </w:tcPr>
          <w:p w14:paraId="2D05E500" w14:textId="77777777" w:rsidR="00631695" w:rsidRPr="00B01BD3" w:rsidRDefault="00631695" w:rsidP="00DA775C">
            <w:pPr>
              <w:jc w:val="both"/>
              <w:rPr>
                <w:rFonts w:asciiTheme="minorHAnsi" w:hAnsiTheme="minorHAnsi" w:cstheme="minorHAnsi"/>
                <w:b/>
                <w:bCs/>
                <w:sz w:val="22"/>
                <w:szCs w:val="22"/>
                <w:lang w:val="fr-FR"/>
              </w:rPr>
            </w:pPr>
            <w:r w:rsidRPr="00B01BD3">
              <w:rPr>
                <w:rFonts w:asciiTheme="minorHAnsi" w:hAnsiTheme="minorHAnsi" w:cstheme="minorHAnsi"/>
                <w:b/>
                <w:bCs/>
                <w:sz w:val="22"/>
                <w:szCs w:val="22"/>
                <w:lang w:val="fr-FR"/>
              </w:rPr>
              <w:t>Article 2. Cycle et période de stage</w:t>
            </w:r>
          </w:p>
        </w:tc>
      </w:tr>
      <w:tr w:rsidR="00631695" w:rsidRPr="00B01BD3" w14:paraId="0C275656" w14:textId="77777777" w:rsidTr="00631695">
        <w:tc>
          <w:tcPr>
            <w:tcW w:w="9073" w:type="dxa"/>
          </w:tcPr>
          <w:p w14:paraId="2AC6152E" w14:textId="64C815CD" w:rsidR="00631695" w:rsidRPr="00B01BD3" w:rsidRDefault="00631695" w:rsidP="00DA775C">
            <w:pPr>
              <w:pStyle w:val="BodyText"/>
              <w:rPr>
                <w:rFonts w:asciiTheme="minorHAnsi" w:hAnsiTheme="minorHAnsi" w:cstheme="minorHAnsi"/>
                <w:sz w:val="22"/>
                <w:szCs w:val="22"/>
              </w:rPr>
            </w:pPr>
            <w:r w:rsidRPr="00B01BD3">
              <w:rPr>
                <w:rFonts w:asciiTheme="minorHAnsi" w:hAnsiTheme="minorHAnsi" w:cstheme="minorHAnsi"/>
                <w:sz w:val="22"/>
                <w:szCs w:val="22"/>
              </w:rPr>
              <w:t>§ 1</w:t>
            </w:r>
            <w:r w:rsidRPr="00B01BD3">
              <w:rPr>
                <w:rFonts w:asciiTheme="minorHAnsi" w:hAnsiTheme="minorHAnsi" w:cstheme="minorHAnsi"/>
                <w:sz w:val="22"/>
                <w:szCs w:val="22"/>
                <w:vertAlign w:val="superscript"/>
              </w:rPr>
              <w:t>er</w:t>
            </w:r>
            <w:r w:rsidRPr="00B01BD3">
              <w:rPr>
                <w:rFonts w:asciiTheme="minorHAnsi" w:hAnsiTheme="minorHAnsi" w:cstheme="minorHAnsi"/>
                <w:sz w:val="22"/>
                <w:szCs w:val="22"/>
              </w:rPr>
              <w:t xml:space="preserve">. Chaque notaire et chaque candidat-notaire doit suivre au moins quarante heures de formations agréées par cycle de deux années civiles. </w:t>
            </w:r>
          </w:p>
        </w:tc>
      </w:tr>
      <w:tr w:rsidR="00631695" w:rsidRPr="00B01BD3" w14:paraId="1D24B86B" w14:textId="77777777" w:rsidTr="00631695">
        <w:tc>
          <w:tcPr>
            <w:tcW w:w="9073" w:type="dxa"/>
          </w:tcPr>
          <w:p w14:paraId="01A7CB09" w14:textId="77777777" w:rsidR="00631695" w:rsidRPr="00B01BD3" w:rsidRDefault="00631695" w:rsidP="00DA775C">
            <w:pPr>
              <w:pStyle w:val="BodyText"/>
              <w:rPr>
                <w:rFonts w:asciiTheme="minorHAnsi" w:hAnsiTheme="minorHAnsi" w:cstheme="minorHAnsi"/>
                <w:sz w:val="22"/>
                <w:szCs w:val="22"/>
              </w:rPr>
            </w:pPr>
            <w:r w:rsidRPr="00B01BD3">
              <w:rPr>
                <w:rFonts w:asciiTheme="minorHAnsi" w:hAnsiTheme="minorHAnsi" w:cstheme="minorHAnsi"/>
                <w:sz w:val="22"/>
                <w:szCs w:val="22"/>
              </w:rPr>
              <w:t xml:space="preserve">En cas de nomination en cours de cycle, un calcul </w:t>
            </w:r>
            <w:r w:rsidRPr="00B01BD3">
              <w:rPr>
                <w:rFonts w:asciiTheme="minorHAnsi" w:hAnsiTheme="minorHAnsi" w:cstheme="minorHAnsi"/>
                <w:i/>
                <w:sz w:val="22"/>
                <w:szCs w:val="22"/>
              </w:rPr>
              <w:t>pro rata</w:t>
            </w:r>
            <w:r w:rsidRPr="00B01BD3">
              <w:rPr>
                <w:rFonts w:asciiTheme="minorHAnsi" w:hAnsiTheme="minorHAnsi" w:cstheme="minorHAnsi"/>
                <w:sz w:val="22"/>
                <w:szCs w:val="22"/>
              </w:rPr>
              <w:t xml:space="preserve"> sera fait.</w:t>
            </w:r>
          </w:p>
        </w:tc>
      </w:tr>
      <w:tr w:rsidR="00631695" w:rsidRPr="00B01BD3" w14:paraId="384FD62B" w14:textId="77777777" w:rsidTr="00631695">
        <w:tc>
          <w:tcPr>
            <w:tcW w:w="9073" w:type="dxa"/>
          </w:tcPr>
          <w:p w14:paraId="61E68E85" w14:textId="77777777" w:rsidR="00631695" w:rsidRPr="00B01BD3" w:rsidRDefault="00631695" w:rsidP="00DA775C">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Les heures surnuméraires suivies durant un cycle ne peuvent pas être reportées au cycle suivant.</w:t>
            </w:r>
          </w:p>
          <w:p w14:paraId="343C6446" w14:textId="77777777" w:rsidR="00631695" w:rsidRPr="00B01BD3" w:rsidRDefault="00631695" w:rsidP="00DA775C">
            <w:pPr>
              <w:jc w:val="both"/>
              <w:rPr>
                <w:rFonts w:asciiTheme="minorHAnsi" w:hAnsiTheme="minorHAnsi" w:cstheme="minorHAnsi"/>
                <w:sz w:val="22"/>
                <w:szCs w:val="22"/>
                <w:lang w:val="fr-FR"/>
              </w:rPr>
            </w:pPr>
          </w:p>
          <w:p w14:paraId="0398B808" w14:textId="64C7D8B3" w:rsidR="00631695" w:rsidRPr="00B01BD3" w:rsidRDefault="00631695" w:rsidP="006E6D52">
            <w:pPr>
              <w:spacing w:after="120"/>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§2. Une formation agréée en management notarial est suivie, pour au moins les quatre volets suivants d’au moins chaque fois dix heures :</w:t>
            </w:r>
          </w:p>
          <w:p w14:paraId="14D8BFBC" w14:textId="7FE3D1CC" w:rsidR="00631695" w:rsidRPr="00B01BD3" w:rsidRDefault="00631695" w:rsidP="006E6D52">
            <w:pPr>
              <w:jc w:val="both"/>
              <w:rPr>
                <w:rFonts w:asciiTheme="minorHAnsi" w:hAnsiTheme="minorHAnsi" w:cstheme="minorHAnsi"/>
                <w:sz w:val="22"/>
                <w:szCs w:val="22"/>
                <w:lang w:val="fr-BE"/>
              </w:rPr>
            </w:pPr>
            <w:r w:rsidRPr="00B01BD3">
              <w:rPr>
                <w:rFonts w:asciiTheme="minorHAnsi" w:hAnsiTheme="minorHAnsi" w:cstheme="minorHAnsi"/>
                <w:sz w:val="22"/>
                <w:szCs w:val="22"/>
                <w:lang w:val="fr-BE"/>
              </w:rPr>
              <w:t>-</w:t>
            </w:r>
            <w:r w:rsidRPr="00B01BD3">
              <w:rPr>
                <w:rFonts w:asciiTheme="minorHAnsi" w:hAnsiTheme="minorHAnsi" w:cstheme="minorHAnsi"/>
                <w:sz w:val="22"/>
                <w:szCs w:val="22"/>
                <w:lang w:val="fr-BE"/>
              </w:rPr>
              <w:tab/>
              <w:t>organisation et gestion d’étude ;</w:t>
            </w:r>
          </w:p>
          <w:p w14:paraId="5A4044F2" w14:textId="61F48C0C" w:rsidR="00631695" w:rsidRPr="00B01BD3" w:rsidRDefault="00631695" w:rsidP="006E6D52">
            <w:pPr>
              <w:jc w:val="both"/>
              <w:rPr>
                <w:rFonts w:asciiTheme="minorHAnsi" w:hAnsiTheme="minorHAnsi" w:cstheme="minorHAnsi"/>
                <w:sz w:val="22"/>
                <w:szCs w:val="22"/>
                <w:lang w:val="fr-BE"/>
              </w:rPr>
            </w:pPr>
            <w:r w:rsidRPr="00B01BD3">
              <w:rPr>
                <w:rFonts w:asciiTheme="minorHAnsi" w:hAnsiTheme="minorHAnsi" w:cstheme="minorHAnsi"/>
                <w:sz w:val="22"/>
                <w:szCs w:val="22"/>
                <w:lang w:val="fr-BE"/>
              </w:rPr>
              <w:t>-</w:t>
            </w:r>
            <w:r w:rsidRPr="00B01BD3">
              <w:rPr>
                <w:rFonts w:asciiTheme="minorHAnsi" w:hAnsiTheme="minorHAnsi" w:cstheme="minorHAnsi"/>
                <w:sz w:val="22"/>
                <w:szCs w:val="22"/>
                <w:lang w:val="fr-BE"/>
              </w:rPr>
              <w:tab/>
              <w:t>gestion financière ;</w:t>
            </w:r>
          </w:p>
          <w:p w14:paraId="6EA1D3D9" w14:textId="7DAD9BD2" w:rsidR="00631695" w:rsidRPr="00B01BD3" w:rsidRDefault="00631695" w:rsidP="006E6D52">
            <w:pPr>
              <w:jc w:val="both"/>
              <w:rPr>
                <w:rFonts w:asciiTheme="minorHAnsi" w:hAnsiTheme="minorHAnsi" w:cstheme="minorHAnsi"/>
                <w:sz w:val="22"/>
                <w:szCs w:val="22"/>
                <w:lang w:val="fr-BE"/>
              </w:rPr>
            </w:pPr>
            <w:r w:rsidRPr="00B01BD3">
              <w:rPr>
                <w:rFonts w:asciiTheme="minorHAnsi" w:hAnsiTheme="minorHAnsi" w:cstheme="minorHAnsi"/>
                <w:sz w:val="22"/>
                <w:szCs w:val="22"/>
                <w:lang w:val="fr-BE"/>
              </w:rPr>
              <w:t>-</w:t>
            </w:r>
            <w:r w:rsidRPr="00B01BD3">
              <w:rPr>
                <w:rFonts w:asciiTheme="minorHAnsi" w:hAnsiTheme="minorHAnsi" w:cstheme="minorHAnsi"/>
                <w:sz w:val="22"/>
                <w:szCs w:val="22"/>
                <w:lang w:val="fr-BE"/>
              </w:rPr>
              <w:tab/>
              <w:t>gestion du personnel ;</w:t>
            </w:r>
          </w:p>
          <w:p w14:paraId="7DAEDC8C" w14:textId="46F4DA6C" w:rsidR="00631695" w:rsidRPr="00B01BD3" w:rsidRDefault="00631695" w:rsidP="00DA775C">
            <w:pPr>
              <w:jc w:val="both"/>
              <w:rPr>
                <w:rFonts w:asciiTheme="minorHAnsi" w:hAnsiTheme="minorHAnsi" w:cstheme="minorHAnsi"/>
                <w:sz w:val="22"/>
                <w:szCs w:val="22"/>
                <w:lang w:val="fr-BE"/>
              </w:rPr>
            </w:pPr>
            <w:r w:rsidRPr="00B01BD3">
              <w:rPr>
                <w:rFonts w:asciiTheme="minorHAnsi" w:hAnsiTheme="minorHAnsi" w:cstheme="minorHAnsi"/>
                <w:sz w:val="22"/>
                <w:szCs w:val="22"/>
                <w:lang w:val="fr-BE"/>
              </w:rPr>
              <w:t>-</w:t>
            </w:r>
            <w:r w:rsidRPr="00B01BD3">
              <w:rPr>
                <w:rFonts w:asciiTheme="minorHAnsi" w:hAnsiTheme="minorHAnsi" w:cstheme="minorHAnsi"/>
                <w:sz w:val="22"/>
                <w:szCs w:val="22"/>
                <w:lang w:val="fr-BE"/>
              </w:rPr>
              <w:tab/>
              <w:t>aptitudes à communiquer.</w:t>
            </w:r>
          </w:p>
        </w:tc>
      </w:tr>
      <w:tr w:rsidR="00631695" w:rsidRPr="00B01BD3" w14:paraId="1DDBCE23" w14:textId="77777777" w:rsidTr="00631695">
        <w:tc>
          <w:tcPr>
            <w:tcW w:w="9073" w:type="dxa"/>
          </w:tcPr>
          <w:p w14:paraId="1C12F208" w14:textId="18076E02" w:rsidR="00631695" w:rsidRPr="00B01BD3" w:rsidRDefault="00631695" w:rsidP="00DA775C">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 xml:space="preserve">§ 3. Chaque stagiaire doit suivre au moins soixante heures de formations agréées par période de stage de trois ans, parmi lesquelles les cinq heures </w:t>
            </w:r>
            <w:r>
              <w:rPr>
                <w:rFonts w:asciiTheme="minorHAnsi" w:hAnsiTheme="minorHAnsi" w:cstheme="minorHAnsi"/>
                <w:sz w:val="22"/>
                <w:szCs w:val="22"/>
                <w:lang w:val="fr-FR"/>
              </w:rPr>
              <w:t xml:space="preserve">de </w:t>
            </w:r>
            <w:r w:rsidRPr="00B01BD3">
              <w:rPr>
                <w:rFonts w:asciiTheme="minorHAnsi" w:hAnsiTheme="minorHAnsi" w:cstheme="minorHAnsi"/>
                <w:sz w:val="22"/>
                <w:szCs w:val="22"/>
                <w:lang w:val="fr-FR"/>
              </w:rPr>
              <w:t>formation en comptabilité, prévues à l’article 1</w:t>
            </w:r>
            <w:r w:rsidRPr="00B01BD3">
              <w:rPr>
                <w:rFonts w:asciiTheme="minorHAnsi" w:hAnsiTheme="minorHAnsi" w:cstheme="minorHAnsi"/>
                <w:sz w:val="22"/>
                <w:szCs w:val="22"/>
                <w:vertAlign w:val="superscript"/>
                <w:lang w:val="fr-FR"/>
              </w:rPr>
              <w:t>er</w:t>
            </w:r>
            <w:r w:rsidRPr="00B01BD3">
              <w:rPr>
                <w:rFonts w:asciiTheme="minorHAnsi" w:hAnsiTheme="minorHAnsi" w:cstheme="minorHAnsi"/>
                <w:sz w:val="22"/>
                <w:szCs w:val="22"/>
                <w:lang w:val="fr-FR"/>
              </w:rPr>
              <w:t>, alinéa six.</w:t>
            </w:r>
          </w:p>
        </w:tc>
      </w:tr>
      <w:tr w:rsidR="00631695" w:rsidRPr="00B01BD3" w14:paraId="1C19776F" w14:textId="77777777" w:rsidTr="00631695">
        <w:tc>
          <w:tcPr>
            <w:tcW w:w="9073" w:type="dxa"/>
          </w:tcPr>
          <w:p w14:paraId="07211B1A" w14:textId="77777777" w:rsidR="00631695" w:rsidRPr="00B01BD3" w:rsidRDefault="00631695" w:rsidP="00DA775C">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 xml:space="preserve">Un calcul </w:t>
            </w:r>
            <w:r w:rsidRPr="00B01BD3">
              <w:rPr>
                <w:rFonts w:asciiTheme="minorHAnsi" w:hAnsiTheme="minorHAnsi" w:cstheme="minorHAnsi"/>
                <w:i/>
                <w:sz w:val="22"/>
                <w:szCs w:val="22"/>
                <w:lang w:val="fr-FR"/>
              </w:rPr>
              <w:t>pro rata</w:t>
            </w:r>
            <w:r w:rsidRPr="00B01BD3">
              <w:rPr>
                <w:rFonts w:asciiTheme="minorHAnsi" w:hAnsiTheme="minorHAnsi" w:cstheme="minorHAnsi"/>
                <w:sz w:val="22"/>
                <w:szCs w:val="22"/>
                <w:lang w:val="fr-FR"/>
              </w:rPr>
              <w:t xml:space="preserve"> sera fait, dont est décomptée la période durant laquelle le stagiaire a accompli son stage :</w:t>
            </w:r>
          </w:p>
        </w:tc>
      </w:tr>
      <w:tr w:rsidR="00631695" w:rsidRPr="00B01BD3" w14:paraId="1E157D2F" w14:textId="77777777" w:rsidTr="00631695">
        <w:tc>
          <w:tcPr>
            <w:tcW w:w="9073" w:type="dxa"/>
          </w:tcPr>
          <w:p w14:paraId="77840089" w14:textId="49F40EA9" w:rsidR="00631695" w:rsidRPr="00B01BD3" w:rsidRDefault="00631695" w:rsidP="00497711">
            <w:pPr>
              <w:pStyle w:val="ListParagraph"/>
              <w:numPr>
                <w:ilvl w:val="0"/>
                <w:numId w:val="4"/>
              </w:num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en dehors du notariat belge comme prévu à l’article 36, § 1</w:t>
            </w:r>
            <w:r w:rsidRPr="00B01BD3">
              <w:rPr>
                <w:rFonts w:asciiTheme="minorHAnsi" w:hAnsiTheme="minorHAnsi" w:cstheme="minorHAnsi"/>
                <w:sz w:val="22"/>
                <w:szCs w:val="22"/>
                <w:vertAlign w:val="superscript"/>
                <w:lang w:val="fr-FR"/>
              </w:rPr>
              <w:t>er</w:t>
            </w:r>
            <w:r w:rsidRPr="00B01BD3">
              <w:rPr>
                <w:rFonts w:asciiTheme="minorHAnsi" w:hAnsiTheme="minorHAnsi" w:cstheme="minorHAnsi"/>
                <w:sz w:val="22"/>
                <w:szCs w:val="22"/>
                <w:lang w:val="fr-FR"/>
              </w:rPr>
              <w:t>, alinéa 2,</w:t>
            </w:r>
            <w:r w:rsidRPr="00B01BD3">
              <w:rPr>
                <w:rFonts w:asciiTheme="minorHAnsi" w:hAnsiTheme="minorHAnsi" w:cstheme="minorHAnsi"/>
                <w:sz w:val="22"/>
                <w:szCs w:val="22"/>
                <w:lang w:val="fr-BE"/>
              </w:rPr>
              <w:t xml:space="preserve"> </w:t>
            </w:r>
            <w:r w:rsidRPr="00B01BD3">
              <w:rPr>
                <w:rFonts w:asciiTheme="minorHAnsi" w:hAnsiTheme="minorHAnsi" w:cstheme="minorHAnsi"/>
                <w:sz w:val="22"/>
                <w:szCs w:val="22"/>
                <w:lang w:val="fr-FR"/>
              </w:rPr>
              <w:t>de la loi contenant organisation du notariat ;</w:t>
            </w:r>
          </w:p>
        </w:tc>
      </w:tr>
      <w:tr w:rsidR="00631695" w:rsidRPr="00B01BD3" w14:paraId="1067B829" w14:textId="77777777" w:rsidTr="00631695">
        <w:tc>
          <w:tcPr>
            <w:tcW w:w="9073" w:type="dxa"/>
          </w:tcPr>
          <w:p w14:paraId="5DF6ABF5" w14:textId="77777777" w:rsidR="00631695" w:rsidRPr="00B01BD3" w:rsidRDefault="00631695" w:rsidP="00DA775C">
            <w:pPr>
              <w:pStyle w:val="ListParagraph"/>
              <w:numPr>
                <w:ilvl w:val="0"/>
                <w:numId w:val="4"/>
              </w:num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suite à une dérogation accordée comme prévu à l’article 36, § 2, de la même loi.</w:t>
            </w:r>
          </w:p>
          <w:p w14:paraId="224D73FF" w14:textId="4CF6E7E9" w:rsidR="00631695" w:rsidRPr="00B01BD3" w:rsidRDefault="00631695" w:rsidP="00741D55">
            <w:pPr>
              <w:jc w:val="both"/>
              <w:rPr>
                <w:rFonts w:asciiTheme="minorHAnsi" w:hAnsiTheme="minorHAnsi" w:cstheme="minorHAnsi"/>
                <w:sz w:val="22"/>
                <w:szCs w:val="22"/>
                <w:lang w:val="fr-FR"/>
              </w:rPr>
            </w:pPr>
          </w:p>
        </w:tc>
      </w:tr>
      <w:tr w:rsidR="00631695" w:rsidRPr="00B01BD3" w14:paraId="377ECC4D" w14:textId="77777777" w:rsidTr="00631695">
        <w:tc>
          <w:tcPr>
            <w:tcW w:w="9073" w:type="dxa"/>
          </w:tcPr>
          <w:p w14:paraId="787EE75D" w14:textId="39A68ADD" w:rsidR="00631695" w:rsidRPr="00B01BD3" w:rsidRDefault="00631695" w:rsidP="00700D98">
            <w:pPr>
              <w:jc w:val="both"/>
              <w:rPr>
                <w:rFonts w:asciiTheme="minorHAnsi" w:hAnsiTheme="minorHAnsi" w:cstheme="minorHAnsi"/>
                <w:sz w:val="22"/>
                <w:szCs w:val="22"/>
                <w:lang w:val="fr-BE"/>
              </w:rPr>
            </w:pPr>
            <w:r w:rsidRPr="00B01BD3">
              <w:rPr>
                <w:rFonts w:asciiTheme="minorHAnsi" w:hAnsiTheme="minorHAnsi" w:cstheme="minorHAnsi"/>
                <w:sz w:val="22"/>
                <w:szCs w:val="22"/>
                <w:lang w:val="fr-FR"/>
              </w:rPr>
              <w:t>§ 4. Chaque notaire, chaque candidat-notaire et chaque stagiaire constitue son programme parmi l’offre de formations agréées.</w:t>
            </w:r>
          </w:p>
        </w:tc>
      </w:tr>
      <w:tr w:rsidR="00631695" w:rsidRPr="00B01BD3" w14:paraId="491D2CB1" w14:textId="77777777" w:rsidTr="00631695">
        <w:tc>
          <w:tcPr>
            <w:tcW w:w="9073" w:type="dxa"/>
          </w:tcPr>
          <w:p w14:paraId="75F813D1" w14:textId="77777777" w:rsidR="00631695" w:rsidRPr="00B01BD3" w:rsidRDefault="00631695" w:rsidP="00DA775C">
            <w:pPr>
              <w:jc w:val="both"/>
              <w:rPr>
                <w:rFonts w:asciiTheme="minorHAnsi" w:hAnsiTheme="minorHAnsi" w:cstheme="minorHAnsi"/>
                <w:b/>
                <w:bCs/>
                <w:sz w:val="22"/>
                <w:szCs w:val="22"/>
                <w:lang w:val="fr-FR"/>
              </w:rPr>
            </w:pPr>
            <w:r w:rsidRPr="00B01BD3">
              <w:rPr>
                <w:rFonts w:asciiTheme="minorHAnsi" w:hAnsiTheme="minorHAnsi" w:cstheme="minorHAnsi"/>
                <w:b/>
                <w:bCs/>
                <w:sz w:val="22"/>
                <w:szCs w:val="22"/>
                <w:lang w:val="fr-FR"/>
              </w:rPr>
              <w:t xml:space="preserve">Article 3. Commission d’agréation </w:t>
            </w:r>
          </w:p>
        </w:tc>
      </w:tr>
      <w:tr w:rsidR="00631695" w:rsidRPr="00B01BD3" w14:paraId="16CCE297" w14:textId="77777777" w:rsidTr="00631695">
        <w:tc>
          <w:tcPr>
            <w:tcW w:w="9073" w:type="dxa"/>
          </w:tcPr>
          <w:p w14:paraId="055E897B" w14:textId="6424B073" w:rsidR="00631695" w:rsidRPr="00B01BD3" w:rsidRDefault="00631695" w:rsidP="00DA775C">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Il y a, à la Chambre nationale des notaires, une commission d’agréation, qui comprend une section néerlandophone et une section francophone.</w:t>
            </w:r>
          </w:p>
        </w:tc>
      </w:tr>
      <w:tr w:rsidR="00631695" w:rsidRPr="00B01BD3" w14:paraId="0661AB09" w14:textId="77777777" w:rsidTr="00631695">
        <w:tc>
          <w:tcPr>
            <w:tcW w:w="9073" w:type="dxa"/>
          </w:tcPr>
          <w:p w14:paraId="012F15BD" w14:textId="656256BA" w:rsidR="00631695" w:rsidRPr="00B01BD3" w:rsidRDefault="00631695" w:rsidP="00DA775C">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La commission d’agréation est composée de huit membres désignés par le comité de direction de la Chambre nationale des notaires : six sont choisis parmi les membres, effectifs ou suppléants, de l’assemblée générale, et</w:t>
            </w:r>
            <w:r w:rsidRPr="00B01BD3">
              <w:rPr>
                <w:rFonts w:asciiTheme="minorHAnsi" w:hAnsiTheme="minorHAnsi" w:cstheme="minorHAnsi"/>
                <w:color w:val="FF0000"/>
                <w:sz w:val="22"/>
                <w:szCs w:val="22"/>
                <w:lang w:val="fr-FR"/>
              </w:rPr>
              <w:t xml:space="preserve"> </w:t>
            </w:r>
            <w:r w:rsidRPr="00B01BD3">
              <w:rPr>
                <w:rFonts w:asciiTheme="minorHAnsi" w:hAnsiTheme="minorHAnsi" w:cstheme="minorHAnsi"/>
                <w:sz w:val="22"/>
                <w:szCs w:val="22"/>
                <w:lang w:val="fr-FR"/>
              </w:rPr>
              <w:t>deux parmi les membres du comité de direction, en tenant compte de la parité linguistique. Chaque section est présidée par le membre du comité de direction.</w:t>
            </w:r>
          </w:p>
        </w:tc>
      </w:tr>
      <w:tr w:rsidR="00631695" w:rsidRPr="00B01BD3" w14:paraId="53BB3015" w14:textId="77777777" w:rsidTr="00631695">
        <w:tc>
          <w:tcPr>
            <w:tcW w:w="9073" w:type="dxa"/>
          </w:tcPr>
          <w:p w14:paraId="39502C2B" w14:textId="40D16082" w:rsidR="00631695" w:rsidRPr="00B01BD3" w:rsidRDefault="00631695" w:rsidP="005D37C9">
            <w:pPr>
              <w:pStyle w:val="BodyText"/>
              <w:rPr>
                <w:rFonts w:asciiTheme="minorHAnsi" w:hAnsiTheme="minorHAnsi" w:cstheme="minorHAnsi"/>
                <w:sz w:val="22"/>
                <w:szCs w:val="22"/>
              </w:rPr>
            </w:pPr>
            <w:r w:rsidRPr="00B01BD3">
              <w:rPr>
                <w:rFonts w:asciiTheme="minorHAnsi" w:hAnsiTheme="minorHAnsi" w:cstheme="minorHAnsi"/>
                <w:sz w:val="22"/>
                <w:szCs w:val="22"/>
              </w:rPr>
              <w:t>La commission d’agréation peut se faire assister d’experts.</w:t>
            </w:r>
          </w:p>
        </w:tc>
      </w:tr>
      <w:tr w:rsidR="00631695" w:rsidRPr="00B01BD3" w14:paraId="31EA11A5" w14:textId="77777777" w:rsidTr="00631695">
        <w:tc>
          <w:tcPr>
            <w:tcW w:w="9073" w:type="dxa"/>
          </w:tcPr>
          <w:p w14:paraId="10DAB8A3" w14:textId="77777777" w:rsidR="00631695" w:rsidRPr="00B01BD3" w:rsidRDefault="00631695" w:rsidP="00DA775C">
            <w:pPr>
              <w:jc w:val="both"/>
              <w:rPr>
                <w:rFonts w:asciiTheme="minorHAnsi" w:hAnsiTheme="minorHAnsi" w:cstheme="minorHAnsi"/>
                <w:b/>
                <w:bCs/>
                <w:sz w:val="22"/>
                <w:szCs w:val="22"/>
                <w:lang w:val="fr-FR"/>
              </w:rPr>
            </w:pPr>
            <w:r w:rsidRPr="00B01BD3">
              <w:rPr>
                <w:rFonts w:asciiTheme="minorHAnsi" w:hAnsiTheme="minorHAnsi" w:cstheme="minorHAnsi"/>
                <w:b/>
                <w:bCs/>
                <w:sz w:val="22"/>
                <w:szCs w:val="22"/>
                <w:lang w:val="fr-FR"/>
              </w:rPr>
              <w:lastRenderedPageBreak/>
              <w:t>Article 4. Compétence des sections et de la commission d’agréation</w:t>
            </w:r>
          </w:p>
        </w:tc>
      </w:tr>
      <w:tr w:rsidR="00631695" w:rsidRPr="00B01BD3" w14:paraId="2A30B2BB" w14:textId="77777777" w:rsidTr="00631695">
        <w:tc>
          <w:tcPr>
            <w:tcW w:w="9073" w:type="dxa"/>
          </w:tcPr>
          <w:p w14:paraId="35CA3A70" w14:textId="77777777" w:rsidR="00631695" w:rsidRPr="00B01BD3" w:rsidRDefault="00631695" w:rsidP="00DA775C">
            <w:pPr>
              <w:pStyle w:val="BodyText"/>
              <w:rPr>
                <w:rFonts w:asciiTheme="minorHAnsi" w:hAnsiTheme="minorHAnsi" w:cstheme="minorHAnsi"/>
                <w:sz w:val="22"/>
                <w:szCs w:val="22"/>
              </w:rPr>
            </w:pPr>
            <w:r w:rsidRPr="00B01BD3">
              <w:rPr>
                <w:rFonts w:asciiTheme="minorHAnsi" w:hAnsiTheme="minorHAnsi" w:cstheme="minorHAnsi"/>
                <w:sz w:val="22"/>
                <w:szCs w:val="22"/>
              </w:rPr>
              <w:t>Les sections décident pour leur domaine linguistique quelles formations sont agréées et arrêtent pour chacune d’elles le nombre d’heures prises en considération.</w:t>
            </w:r>
          </w:p>
        </w:tc>
      </w:tr>
      <w:tr w:rsidR="00631695" w:rsidRPr="00B01BD3" w14:paraId="0647B560" w14:textId="77777777" w:rsidTr="00631695">
        <w:tc>
          <w:tcPr>
            <w:tcW w:w="9073" w:type="dxa"/>
          </w:tcPr>
          <w:p w14:paraId="6879087E" w14:textId="0DAD0E50" w:rsidR="00631695" w:rsidRPr="00B01BD3" w:rsidRDefault="00631695" w:rsidP="00DA775C">
            <w:pPr>
              <w:jc w:val="both"/>
              <w:rPr>
                <w:rFonts w:asciiTheme="minorHAnsi" w:hAnsiTheme="minorHAnsi" w:cstheme="minorHAnsi"/>
                <w:bCs/>
                <w:sz w:val="22"/>
                <w:szCs w:val="22"/>
                <w:lang w:val="fr-FR"/>
              </w:rPr>
            </w:pPr>
            <w:r w:rsidRPr="00B01BD3">
              <w:rPr>
                <w:rFonts w:asciiTheme="minorHAnsi" w:hAnsiTheme="minorHAnsi" w:cstheme="minorHAnsi"/>
                <w:sz w:val="22"/>
                <w:szCs w:val="22"/>
                <w:lang w:val="fr-FR"/>
              </w:rPr>
              <w:t xml:space="preserve">Si la formation est donnée en néerlandais et en français, en allemand ou dans une autre langue qu’une des langues nationales, les deux sections se prononceront ensemble sur </w:t>
            </w:r>
            <w:r w:rsidRPr="00B01BD3">
              <w:rPr>
                <w:rFonts w:asciiTheme="minorHAnsi" w:hAnsiTheme="minorHAnsi" w:cstheme="minorHAnsi"/>
                <w:bCs/>
                <w:sz w:val="22"/>
                <w:szCs w:val="22"/>
                <w:lang w:val="fr-FR"/>
              </w:rPr>
              <w:t>l’agréation.</w:t>
            </w:r>
          </w:p>
        </w:tc>
      </w:tr>
      <w:tr w:rsidR="00631695" w:rsidRPr="00B01BD3" w14:paraId="6A51230F" w14:textId="77777777" w:rsidTr="00631695">
        <w:tc>
          <w:tcPr>
            <w:tcW w:w="9073" w:type="dxa"/>
          </w:tcPr>
          <w:p w14:paraId="1AF56FC4" w14:textId="77777777" w:rsidR="00631695" w:rsidRPr="00B01BD3" w:rsidRDefault="00631695" w:rsidP="005D37C9">
            <w:pPr>
              <w:pStyle w:val="BodyText"/>
              <w:rPr>
                <w:rFonts w:asciiTheme="minorHAnsi" w:hAnsiTheme="minorHAnsi" w:cstheme="minorHAnsi"/>
                <w:sz w:val="22"/>
                <w:szCs w:val="22"/>
              </w:rPr>
            </w:pPr>
            <w:r w:rsidRPr="00B01BD3">
              <w:rPr>
                <w:rFonts w:asciiTheme="minorHAnsi" w:hAnsiTheme="minorHAnsi" w:cstheme="minorHAnsi"/>
                <w:sz w:val="22"/>
                <w:szCs w:val="22"/>
              </w:rPr>
              <w:t>Les décisions des sections sont prises dans le mois qui suit la demande, avec une majorité de trois voix.</w:t>
            </w:r>
          </w:p>
          <w:p w14:paraId="0C887730" w14:textId="275F078E" w:rsidR="00631695" w:rsidRPr="00B01BD3" w:rsidRDefault="00631695" w:rsidP="005D37C9">
            <w:pPr>
              <w:pStyle w:val="BodyText"/>
              <w:rPr>
                <w:rFonts w:asciiTheme="minorHAnsi" w:hAnsiTheme="minorHAnsi" w:cstheme="minorHAnsi"/>
                <w:sz w:val="22"/>
                <w:szCs w:val="22"/>
              </w:rPr>
            </w:pPr>
          </w:p>
        </w:tc>
      </w:tr>
      <w:tr w:rsidR="00631695" w:rsidRPr="00B01BD3" w14:paraId="0A7CF298" w14:textId="77777777" w:rsidTr="00631695">
        <w:tc>
          <w:tcPr>
            <w:tcW w:w="9073" w:type="dxa"/>
          </w:tcPr>
          <w:p w14:paraId="0C935051" w14:textId="03B19534" w:rsidR="00631695" w:rsidRPr="00B01BD3" w:rsidRDefault="00631695" w:rsidP="005D37C9">
            <w:pPr>
              <w:pStyle w:val="BodyText"/>
              <w:rPr>
                <w:rFonts w:asciiTheme="minorHAnsi" w:hAnsiTheme="minorHAnsi" w:cstheme="minorHAnsi"/>
                <w:sz w:val="22"/>
                <w:szCs w:val="22"/>
                <w:lang w:val="fr-BE"/>
              </w:rPr>
            </w:pPr>
            <w:r w:rsidRPr="00B01BD3">
              <w:rPr>
                <w:rFonts w:asciiTheme="minorHAnsi" w:hAnsiTheme="minorHAnsi" w:cstheme="minorHAnsi"/>
                <w:sz w:val="22"/>
                <w:szCs w:val="22"/>
              </w:rPr>
              <w:t>Le refus d’agréer une formation doit être motivé.</w:t>
            </w:r>
          </w:p>
        </w:tc>
      </w:tr>
      <w:tr w:rsidR="00631695" w:rsidRPr="00B01BD3" w14:paraId="1B14D3B0" w14:textId="77777777" w:rsidTr="00631695">
        <w:tc>
          <w:tcPr>
            <w:tcW w:w="9073" w:type="dxa"/>
          </w:tcPr>
          <w:p w14:paraId="2D39BD02" w14:textId="1D634897" w:rsidR="00631695" w:rsidRPr="00B01BD3" w:rsidRDefault="00631695" w:rsidP="00DA775C">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La commission d’agréation peut, réserver une suite favorable à des demandes d’agréation individuelles de notaires, candidats-notaires et stagiaires (cours, conférences, publications, congrès, etc.). La condition de recevabilité prévue à l’article 3, alinéa trois de l’arrêté royal du XXX</w:t>
            </w:r>
            <w:r>
              <w:rPr>
                <w:rFonts w:asciiTheme="minorHAnsi" w:hAnsiTheme="minorHAnsi" w:cstheme="minorHAnsi"/>
                <w:sz w:val="22"/>
                <w:szCs w:val="22"/>
                <w:lang w:val="fr-FR"/>
              </w:rPr>
              <w:t xml:space="preserve"> </w:t>
            </w:r>
            <w:r w:rsidRPr="00B01BD3">
              <w:rPr>
                <w:rFonts w:asciiTheme="minorHAnsi" w:hAnsiTheme="minorHAnsi" w:cstheme="minorHAnsi"/>
                <w:sz w:val="22"/>
                <w:szCs w:val="22"/>
                <w:lang w:val="fr-FR"/>
              </w:rPr>
              <w:t xml:space="preserve"> n’est pas d’application aux demandes d’agréation individuelles.</w:t>
            </w:r>
          </w:p>
        </w:tc>
      </w:tr>
      <w:tr w:rsidR="00631695" w:rsidRPr="00B01BD3" w14:paraId="5B03605F" w14:textId="77777777" w:rsidTr="00631695">
        <w:tc>
          <w:tcPr>
            <w:tcW w:w="9073" w:type="dxa"/>
            <w:shd w:val="clear" w:color="auto" w:fill="auto"/>
          </w:tcPr>
          <w:p w14:paraId="049E4926" w14:textId="46F97D7F" w:rsidR="00631695" w:rsidRPr="00B01BD3" w:rsidRDefault="00631695" w:rsidP="00F80002">
            <w:pPr>
              <w:jc w:val="both"/>
              <w:rPr>
                <w:rFonts w:asciiTheme="minorHAnsi" w:hAnsiTheme="minorHAnsi" w:cstheme="minorHAnsi"/>
                <w:sz w:val="22"/>
                <w:szCs w:val="22"/>
                <w:lang w:val="nl-BE"/>
              </w:rPr>
            </w:pPr>
          </w:p>
          <w:p w14:paraId="35A6CC96" w14:textId="6E6EB8FF" w:rsidR="00631695" w:rsidRPr="00B01BD3" w:rsidRDefault="00631695" w:rsidP="009466A2">
            <w:pPr>
              <w:jc w:val="both"/>
              <w:rPr>
                <w:rFonts w:asciiTheme="minorHAnsi" w:hAnsiTheme="minorHAnsi" w:cstheme="minorHAnsi"/>
                <w:sz w:val="22"/>
                <w:szCs w:val="22"/>
                <w:lang w:val="fr-BE"/>
              </w:rPr>
            </w:pPr>
            <w:r w:rsidRPr="00B01BD3">
              <w:rPr>
                <w:rFonts w:asciiTheme="minorHAnsi" w:hAnsiTheme="minorHAnsi" w:cstheme="minorHAnsi"/>
                <w:sz w:val="22"/>
                <w:szCs w:val="22"/>
                <w:lang w:val="fr-FR"/>
              </w:rPr>
              <w:t>A la demande d’un des membres ou en cas de parité des voix, après une r</w:t>
            </w:r>
            <w:r>
              <w:rPr>
                <w:rFonts w:asciiTheme="minorHAnsi" w:hAnsiTheme="minorHAnsi" w:cstheme="minorHAnsi"/>
                <w:sz w:val="22"/>
                <w:szCs w:val="22"/>
                <w:lang w:val="fr-FR"/>
              </w:rPr>
              <w:t>econsidération</w:t>
            </w:r>
            <w:r w:rsidRPr="00B01BD3">
              <w:rPr>
                <w:rFonts w:asciiTheme="minorHAnsi" w:hAnsiTheme="minorHAnsi" w:cstheme="minorHAnsi"/>
                <w:sz w:val="22"/>
                <w:szCs w:val="22"/>
                <w:lang w:val="fr-FR"/>
              </w:rPr>
              <w:t>, la décision doit être soumise à l’approbation du comité de direction de la Chambre nationale des notaires.</w:t>
            </w:r>
          </w:p>
        </w:tc>
      </w:tr>
      <w:tr w:rsidR="00631695" w:rsidRPr="00B01BD3" w14:paraId="20911A13" w14:textId="77777777" w:rsidTr="00631695">
        <w:tc>
          <w:tcPr>
            <w:tcW w:w="9073" w:type="dxa"/>
          </w:tcPr>
          <w:p w14:paraId="0D4B65E7" w14:textId="77777777" w:rsidR="00631695" w:rsidRPr="00B01BD3" w:rsidRDefault="00631695" w:rsidP="00DA775C">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La commission d’agréation est compétente pour établir un règlement d’ordre intérieur.</w:t>
            </w:r>
          </w:p>
        </w:tc>
      </w:tr>
      <w:tr w:rsidR="00631695" w:rsidRPr="00B01BD3" w14:paraId="0A532FBA" w14:textId="77777777" w:rsidTr="00631695">
        <w:tc>
          <w:tcPr>
            <w:tcW w:w="9073" w:type="dxa"/>
          </w:tcPr>
          <w:p w14:paraId="57B9B4A0" w14:textId="77777777" w:rsidR="00631695" w:rsidRPr="00B01BD3" w:rsidRDefault="00631695" w:rsidP="00DA775C">
            <w:pPr>
              <w:jc w:val="both"/>
              <w:rPr>
                <w:rFonts w:asciiTheme="minorHAnsi" w:hAnsiTheme="minorHAnsi" w:cstheme="minorHAnsi"/>
                <w:b/>
                <w:bCs/>
                <w:sz w:val="22"/>
                <w:szCs w:val="22"/>
                <w:lang w:val="fr-FR"/>
              </w:rPr>
            </w:pPr>
            <w:r w:rsidRPr="00B01BD3">
              <w:rPr>
                <w:rFonts w:asciiTheme="minorHAnsi" w:hAnsiTheme="minorHAnsi" w:cstheme="minorHAnsi"/>
                <w:b/>
                <w:bCs/>
                <w:sz w:val="22"/>
                <w:szCs w:val="22"/>
                <w:lang w:val="fr-FR"/>
              </w:rPr>
              <w:t>Article 5. Demande d’agréation</w:t>
            </w:r>
          </w:p>
        </w:tc>
      </w:tr>
      <w:tr w:rsidR="00631695" w:rsidRPr="00B01BD3" w14:paraId="5750D51E" w14:textId="77777777" w:rsidTr="00631695">
        <w:tc>
          <w:tcPr>
            <w:tcW w:w="9073" w:type="dxa"/>
          </w:tcPr>
          <w:p w14:paraId="138458D6" w14:textId="0B5AF42B" w:rsidR="00631695" w:rsidRPr="00B01BD3" w:rsidRDefault="00631695" w:rsidP="00DC7DD9">
            <w:pPr>
              <w:jc w:val="both"/>
              <w:rPr>
                <w:rFonts w:asciiTheme="minorHAnsi" w:hAnsiTheme="minorHAnsi" w:cstheme="minorHAnsi"/>
                <w:sz w:val="22"/>
                <w:szCs w:val="22"/>
                <w:lang w:val="fr-BE"/>
              </w:rPr>
            </w:pPr>
            <w:r w:rsidRPr="00B01BD3">
              <w:rPr>
                <w:rFonts w:asciiTheme="minorHAnsi" w:hAnsiTheme="minorHAnsi" w:cstheme="minorHAnsi"/>
                <w:sz w:val="22"/>
                <w:szCs w:val="22"/>
                <w:lang w:val="fr-FR"/>
              </w:rPr>
              <w:t>Les fournisseurs de formations, les notaires, les candidats-notaires ou les stagiaires peuvent adresser une demande d’agréation à la commission d’agréation.</w:t>
            </w:r>
          </w:p>
        </w:tc>
      </w:tr>
      <w:tr w:rsidR="00631695" w:rsidRPr="00B01BD3" w14:paraId="4FD49E60" w14:textId="77777777" w:rsidTr="00631695">
        <w:tc>
          <w:tcPr>
            <w:tcW w:w="9073" w:type="dxa"/>
          </w:tcPr>
          <w:p w14:paraId="2E7168F7" w14:textId="77777777" w:rsidR="00631695" w:rsidRPr="00B01BD3" w:rsidRDefault="00631695" w:rsidP="00DA775C">
            <w:pPr>
              <w:jc w:val="both"/>
              <w:rPr>
                <w:rFonts w:asciiTheme="minorHAnsi" w:hAnsiTheme="minorHAnsi" w:cstheme="minorHAnsi"/>
                <w:b/>
                <w:bCs/>
                <w:sz w:val="22"/>
                <w:szCs w:val="22"/>
                <w:lang w:val="fr-FR"/>
              </w:rPr>
            </w:pPr>
            <w:r w:rsidRPr="00B01BD3">
              <w:rPr>
                <w:rFonts w:asciiTheme="minorHAnsi" w:hAnsiTheme="minorHAnsi" w:cstheme="minorHAnsi"/>
                <w:b/>
                <w:bCs/>
                <w:sz w:val="22"/>
                <w:szCs w:val="22"/>
                <w:lang w:val="fr-FR"/>
              </w:rPr>
              <w:t>Article 6. Modalités</w:t>
            </w:r>
          </w:p>
        </w:tc>
      </w:tr>
      <w:tr w:rsidR="00631695" w:rsidRPr="00B01BD3" w14:paraId="196673FD" w14:textId="77777777" w:rsidTr="00631695">
        <w:tc>
          <w:tcPr>
            <w:tcW w:w="9073" w:type="dxa"/>
          </w:tcPr>
          <w:p w14:paraId="098DA102" w14:textId="533402C7" w:rsidR="00631695" w:rsidRPr="00B01BD3" w:rsidRDefault="00631695" w:rsidP="00DA775C">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 xml:space="preserve">La demande se fait via la plateforme numérique désignée par le comité de direction de la Chambre nationale des notaires et selon les modalités déterminées à cette fin par le comité de direction. </w:t>
            </w:r>
          </w:p>
        </w:tc>
      </w:tr>
      <w:tr w:rsidR="00631695" w:rsidRPr="00B01BD3" w14:paraId="49C89EE1" w14:textId="77777777" w:rsidTr="00631695">
        <w:tc>
          <w:tcPr>
            <w:tcW w:w="9073" w:type="dxa"/>
          </w:tcPr>
          <w:p w14:paraId="76B99CFD" w14:textId="3C4C170B" w:rsidR="00631695" w:rsidRPr="00B01BD3" w:rsidRDefault="00631695" w:rsidP="00DA775C">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 xml:space="preserve">Les modalités des traitements de données à caractère personnel sont définies dans l’arrêté royal </w:t>
            </w:r>
            <w:r>
              <w:rPr>
                <w:rFonts w:asciiTheme="minorHAnsi" w:hAnsiTheme="minorHAnsi" w:cstheme="minorHAnsi"/>
                <w:sz w:val="22"/>
                <w:szCs w:val="22"/>
                <w:lang w:val="fr-FR"/>
              </w:rPr>
              <w:t xml:space="preserve">du </w:t>
            </w:r>
            <w:r w:rsidRPr="00B01BD3">
              <w:rPr>
                <w:rFonts w:asciiTheme="minorHAnsi" w:hAnsiTheme="minorHAnsi" w:cstheme="minorHAnsi"/>
                <w:sz w:val="22"/>
                <w:szCs w:val="22"/>
                <w:lang w:val="fr-FR"/>
              </w:rPr>
              <w:t>xxx.</w:t>
            </w:r>
          </w:p>
        </w:tc>
      </w:tr>
      <w:tr w:rsidR="00631695" w:rsidRPr="00B01BD3" w14:paraId="75BECDE7" w14:textId="77777777" w:rsidTr="00631695">
        <w:tc>
          <w:tcPr>
            <w:tcW w:w="9073" w:type="dxa"/>
          </w:tcPr>
          <w:p w14:paraId="231EF58C" w14:textId="50E2C434" w:rsidR="00631695" w:rsidRPr="00B01BD3" w:rsidRDefault="00631695" w:rsidP="00DA775C">
            <w:pPr>
              <w:jc w:val="both"/>
              <w:rPr>
                <w:rFonts w:asciiTheme="minorHAnsi" w:hAnsiTheme="minorHAnsi" w:cstheme="minorHAnsi"/>
                <w:sz w:val="22"/>
                <w:szCs w:val="22"/>
                <w:lang w:val="fr-BE"/>
              </w:rPr>
            </w:pPr>
            <w:r w:rsidRPr="00B01BD3">
              <w:rPr>
                <w:rFonts w:asciiTheme="minorHAnsi" w:hAnsiTheme="minorHAnsi" w:cstheme="minorHAnsi"/>
                <w:sz w:val="22"/>
                <w:szCs w:val="22"/>
                <w:lang w:val="fr-FR"/>
              </w:rPr>
              <w:t>Au moment de solliciter l’agréation d’une formation, le fournisseur de la formation  s’engage</w:t>
            </w:r>
            <w:r>
              <w:rPr>
                <w:rFonts w:asciiTheme="minorHAnsi" w:hAnsiTheme="minorHAnsi" w:cstheme="minorHAnsi"/>
                <w:sz w:val="22"/>
                <w:szCs w:val="22"/>
                <w:lang w:val="fr-FR"/>
              </w:rPr>
              <w:t xml:space="preserve">, une fois la formation terminée, </w:t>
            </w:r>
            <w:r w:rsidRPr="00B01BD3">
              <w:rPr>
                <w:rFonts w:asciiTheme="minorHAnsi" w:hAnsiTheme="minorHAnsi" w:cstheme="minorHAnsi"/>
                <w:sz w:val="22"/>
                <w:szCs w:val="22"/>
                <w:lang w:val="fr-FR"/>
              </w:rPr>
              <w:t>à saisir les présences dans la plateforme numérique, après avoir contrôlé ces présences</w:t>
            </w:r>
            <w:r>
              <w:rPr>
                <w:rFonts w:asciiTheme="minorHAnsi" w:hAnsiTheme="minorHAnsi" w:cstheme="minorHAnsi"/>
                <w:sz w:val="22"/>
                <w:szCs w:val="22"/>
                <w:lang w:val="fr-FR"/>
              </w:rPr>
              <w:t>, et ce dans un délai de deux mois.</w:t>
            </w:r>
          </w:p>
        </w:tc>
      </w:tr>
      <w:tr w:rsidR="00631695" w:rsidRPr="00B01BD3" w14:paraId="24C7BFDF" w14:textId="77777777" w:rsidTr="00631695">
        <w:tc>
          <w:tcPr>
            <w:tcW w:w="9073" w:type="dxa"/>
          </w:tcPr>
          <w:p w14:paraId="62A310C8" w14:textId="77777777" w:rsidR="00631695" w:rsidRPr="00B01BD3" w:rsidRDefault="00631695" w:rsidP="00F80002">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Le fournisseur de la formation peut faire mention de l’agréation.</w:t>
            </w:r>
          </w:p>
        </w:tc>
      </w:tr>
      <w:tr w:rsidR="00631695" w:rsidRPr="00B01BD3" w14:paraId="748E6F90" w14:textId="77777777" w:rsidTr="00631695">
        <w:tc>
          <w:tcPr>
            <w:tcW w:w="9073" w:type="dxa"/>
          </w:tcPr>
          <w:p w14:paraId="2D1E0ABB" w14:textId="73F58712" w:rsidR="00631695" w:rsidRPr="00B01BD3" w:rsidRDefault="00631695" w:rsidP="00497711">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L’offre de formation agréée est publiée sur l’eNotariat.</w:t>
            </w:r>
          </w:p>
        </w:tc>
      </w:tr>
      <w:tr w:rsidR="00631695" w:rsidRPr="00B01BD3" w14:paraId="3CFB066B" w14:textId="77777777" w:rsidTr="00631695">
        <w:tc>
          <w:tcPr>
            <w:tcW w:w="9073" w:type="dxa"/>
          </w:tcPr>
          <w:p w14:paraId="31664F40" w14:textId="03E4F5FC" w:rsidR="00631695" w:rsidRPr="00B01BD3" w:rsidRDefault="00631695" w:rsidP="00F80002">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L’agréation d’une formation est valable pour deux ans à partir de la date soit de la première réunion soit de la première formation ou bien à partir de la date de l’agréation pour un « e-learning » ou une formation « à la demande ».</w:t>
            </w:r>
          </w:p>
        </w:tc>
      </w:tr>
      <w:tr w:rsidR="00631695" w:rsidRPr="00B01BD3" w14:paraId="742FD7C0" w14:textId="77777777" w:rsidTr="00631695">
        <w:tc>
          <w:tcPr>
            <w:tcW w:w="9073" w:type="dxa"/>
          </w:tcPr>
          <w:p w14:paraId="6BE6113A" w14:textId="0086E232" w:rsidR="00631695" w:rsidRPr="00B01BD3" w:rsidRDefault="00631695" w:rsidP="00F80002">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Une activité peut être agréée rétroactivement pendant un cycle ou une période de stage. Une approbation rétroactive n’est plus possible après le 31 janvier de l’année qui suit le cycle ou après un mois à compter de la fin de la période de stage.</w:t>
            </w:r>
          </w:p>
        </w:tc>
      </w:tr>
      <w:tr w:rsidR="00631695" w:rsidRPr="00B01BD3" w14:paraId="5874840D" w14:textId="77777777" w:rsidTr="00631695">
        <w:tc>
          <w:tcPr>
            <w:tcW w:w="9073" w:type="dxa"/>
          </w:tcPr>
          <w:p w14:paraId="58E8077F" w14:textId="19E31039" w:rsidR="00631695" w:rsidRPr="00B01BD3" w:rsidRDefault="00631695" w:rsidP="00F80002">
            <w:pPr>
              <w:jc w:val="both"/>
              <w:rPr>
                <w:rFonts w:asciiTheme="minorHAnsi" w:hAnsiTheme="minorHAnsi" w:cstheme="minorHAnsi"/>
                <w:sz w:val="22"/>
                <w:szCs w:val="22"/>
                <w:lang w:val="fr-BE"/>
              </w:rPr>
            </w:pPr>
            <w:r w:rsidRPr="00B01BD3">
              <w:rPr>
                <w:rFonts w:asciiTheme="minorHAnsi" w:hAnsiTheme="minorHAnsi" w:cstheme="minorHAnsi"/>
                <w:sz w:val="22"/>
                <w:szCs w:val="22"/>
                <w:lang w:val="fr-FR"/>
              </w:rPr>
              <w:lastRenderedPageBreak/>
              <w:t>Lorsqu’un même participant suit une même formation avec des numéros d’agréation différents (en raison d’une autre forme d’offre), il ne se verra octroyer qu’une seule fois des heures pour cette formation.</w:t>
            </w:r>
          </w:p>
        </w:tc>
      </w:tr>
      <w:tr w:rsidR="00631695" w:rsidRPr="00B01BD3" w14:paraId="5D88E132" w14:textId="77777777" w:rsidTr="00631695">
        <w:tc>
          <w:tcPr>
            <w:tcW w:w="9073" w:type="dxa"/>
          </w:tcPr>
          <w:p w14:paraId="20CFC36D" w14:textId="77777777" w:rsidR="00631695" w:rsidRPr="00B01BD3" w:rsidRDefault="00631695" w:rsidP="00F80002">
            <w:pPr>
              <w:jc w:val="both"/>
              <w:rPr>
                <w:rFonts w:asciiTheme="minorHAnsi" w:hAnsiTheme="minorHAnsi" w:cstheme="minorHAnsi"/>
                <w:b/>
                <w:bCs/>
                <w:sz w:val="22"/>
                <w:szCs w:val="22"/>
                <w:lang w:val="fr-FR"/>
              </w:rPr>
            </w:pPr>
            <w:r w:rsidRPr="00B01BD3">
              <w:rPr>
                <w:rFonts w:asciiTheme="minorHAnsi" w:hAnsiTheme="minorHAnsi" w:cstheme="minorHAnsi"/>
                <w:b/>
                <w:bCs/>
                <w:sz w:val="22"/>
                <w:szCs w:val="22"/>
                <w:lang w:val="fr-FR"/>
              </w:rPr>
              <w:t>Article 7. Contrôle</w:t>
            </w:r>
          </w:p>
        </w:tc>
      </w:tr>
      <w:tr w:rsidR="00631695" w:rsidRPr="00B01BD3" w14:paraId="5E0A2703" w14:textId="77777777" w:rsidTr="00631695">
        <w:tc>
          <w:tcPr>
            <w:tcW w:w="9073" w:type="dxa"/>
          </w:tcPr>
          <w:p w14:paraId="5707B727" w14:textId="2B27FAC8" w:rsidR="00631695" w:rsidRPr="00B01BD3" w:rsidRDefault="00631695" w:rsidP="00B01BD3">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 1</w:t>
            </w:r>
            <w:r w:rsidRPr="00B01BD3">
              <w:rPr>
                <w:rFonts w:asciiTheme="minorHAnsi" w:hAnsiTheme="minorHAnsi" w:cstheme="minorHAnsi"/>
                <w:sz w:val="22"/>
                <w:szCs w:val="22"/>
                <w:vertAlign w:val="superscript"/>
                <w:lang w:val="fr-FR"/>
              </w:rPr>
              <w:t>er</w:t>
            </w:r>
            <w:r w:rsidRPr="00B01BD3">
              <w:rPr>
                <w:rFonts w:asciiTheme="minorHAnsi" w:hAnsiTheme="minorHAnsi" w:cstheme="minorHAnsi"/>
                <w:sz w:val="22"/>
                <w:szCs w:val="22"/>
                <w:lang w:val="fr-FR"/>
              </w:rPr>
              <w:t xml:space="preserve">. La chambre des notaires contrôle l’application du présent règlement, en ce qui concerne les notaires et les candidats-notaires. </w:t>
            </w:r>
          </w:p>
        </w:tc>
      </w:tr>
      <w:tr w:rsidR="00631695" w:rsidRPr="00B01BD3" w14:paraId="48569C6B" w14:textId="77777777" w:rsidTr="00631695">
        <w:tc>
          <w:tcPr>
            <w:tcW w:w="9073" w:type="dxa"/>
          </w:tcPr>
          <w:p w14:paraId="57894631" w14:textId="0846E257" w:rsidR="00631695" w:rsidRPr="00B01BD3" w:rsidRDefault="00631695" w:rsidP="005E58E0">
            <w:pPr>
              <w:jc w:val="both"/>
              <w:rPr>
                <w:rFonts w:asciiTheme="minorHAnsi" w:hAnsiTheme="minorHAnsi" w:cstheme="minorHAnsi"/>
                <w:strike/>
                <w:sz w:val="22"/>
                <w:szCs w:val="22"/>
                <w:lang w:val="fr-FR"/>
              </w:rPr>
            </w:pPr>
            <w:r w:rsidRPr="00B01BD3">
              <w:rPr>
                <w:rFonts w:asciiTheme="minorHAnsi" w:hAnsiTheme="minorHAnsi" w:cstheme="minorHAnsi"/>
                <w:sz w:val="22"/>
                <w:szCs w:val="22"/>
                <w:lang w:val="fr-FR"/>
              </w:rPr>
              <w:t>Elle utilise à cette fin la plateforme numérique.</w:t>
            </w:r>
          </w:p>
        </w:tc>
      </w:tr>
      <w:tr w:rsidR="00631695" w:rsidRPr="00B01BD3" w14:paraId="22F10116" w14:textId="77777777" w:rsidTr="00631695">
        <w:tc>
          <w:tcPr>
            <w:tcW w:w="9073" w:type="dxa"/>
          </w:tcPr>
          <w:p w14:paraId="5F3C2F57" w14:textId="47B9EDC5" w:rsidR="00631695" w:rsidRPr="00B01BD3" w:rsidRDefault="00631695" w:rsidP="005E58E0">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 2. La commission de stage contrôle l’application du présent règlement, en ce qui concerne les stagiaires.</w:t>
            </w:r>
          </w:p>
        </w:tc>
      </w:tr>
      <w:tr w:rsidR="00631695" w:rsidRPr="00B01BD3" w14:paraId="7EACD650" w14:textId="77777777" w:rsidTr="00631695">
        <w:tc>
          <w:tcPr>
            <w:tcW w:w="9073" w:type="dxa"/>
          </w:tcPr>
          <w:p w14:paraId="11B5989F" w14:textId="69A7F9DB" w:rsidR="00631695" w:rsidRPr="00B01BD3" w:rsidRDefault="00631695">
            <w:pPr>
              <w:jc w:val="both"/>
              <w:rPr>
                <w:rFonts w:asciiTheme="minorHAnsi" w:hAnsiTheme="minorHAnsi" w:cstheme="minorHAnsi"/>
                <w:sz w:val="22"/>
                <w:szCs w:val="22"/>
                <w:lang w:val="fr-BE"/>
              </w:rPr>
            </w:pPr>
            <w:r w:rsidRPr="00B01BD3">
              <w:rPr>
                <w:rFonts w:asciiTheme="minorHAnsi" w:hAnsiTheme="minorHAnsi" w:cstheme="minorHAnsi"/>
                <w:sz w:val="22"/>
                <w:szCs w:val="22"/>
                <w:lang w:val="fr-FR"/>
              </w:rPr>
              <w:t>Elle utilise à cette fin la plateforme numérique.</w:t>
            </w:r>
          </w:p>
        </w:tc>
      </w:tr>
      <w:tr w:rsidR="00631695" w:rsidRPr="00B01BD3" w14:paraId="3811DDFC" w14:textId="77777777" w:rsidTr="00631695">
        <w:tc>
          <w:tcPr>
            <w:tcW w:w="9073" w:type="dxa"/>
          </w:tcPr>
          <w:p w14:paraId="60E1233E" w14:textId="77777777" w:rsidR="00631695" w:rsidRPr="00B01BD3" w:rsidRDefault="00631695" w:rsidP="005E58E0">
            <w:pPr>
              <w:jc w:val="both"/>
              <w:rPr>
                <w:rFonts w:asciiTheme="minorHAnsi" w:hAnsiTheme="minorHAnsi" w:cstheme="minorHAnsi"/>
                <w:b/>
                <w:bCs/>
                <w:sz w:val="22"/>
                <w:szCs w:val="22"/>
                <w:lang w:val="fr-FR"/>
              </w:rPr>
            </w:pPr>
            <w:r w:rsidRPr="00B01BD3">
              <w:rPr>
                <w:rFonts w:asciiTheme="minorHAnsi" w:hAnsiTheme="minorHAnsi" w:cstheme="minorHAnsi"/>
                <w:b/>
                <w:bCs/>
                <w:sz w:val="22"/>
                <w:szCs w:val="22"/>
                <w:lang w:val="fr-FR"/>
              </w:rPr>
              <w:t>Article 8. Entrée en vigueur</w:t>
            </w:r>
          </w:p>
        </w:tc>
      </w:tr>
      <w:tr w:rsidR="00631695" w:rsidRPr="00B01BD3" w14:paraId="7EFD2383" w14:textId="77777777" w:rsidTr="00631695">
        <w:tc>
          <w:tcPr>
            <w:tcW w:w="9073" w:type="dxa"/>
          </w:tcPr>
          <w:p w14:paraId="19D0EC12" w14:textId="77777777" w:rsidR="00631695" w:rsidRPr="00B01BD3" w:rsidRDefault="00631695" w:rsidP="005E58E0">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Le premier cycle de deux ans débute le 1</w:t>
            </w:r>
            <w:r w:rsidRPr="00B01BD3">
              <w:rPr>
                <w:rFonts w:asciiTheme="minorHAnsi" w:hAnsiTheme="minorHAnsi" w:cstheme="minorHAnsi"/>
                <w:sz w:val="22"/>
                <w:szCs w:val="22"/>
                <w:vertAlign w:val="superscript"/>
                <w:lang w:val="fr-FR"/>
              </w:rPr>
              <w:t>er</w:t>
            </w:r>
            <w:r w:rsidRPr="00B01BD3">
              <w:rPr>
                <w:rFonts w:asciiTheme="minorHAnsi" w:hAnsiTheme="minorHAnsi" w:cstheme="minorHAnsi"/>
                <w:sz w:val="22"/>
                <w:szCs w:val="22"/>
                <w:lang w:val="fr-FR"/>
              </w:rPr>
              <w:t xml:space="preserve"> janvier 2008.</w:t>
            </w:r>
          </w:p>
        </w:tc>
      </w:tr>
      <w:tr w:rsidR="00631695" w:rsidRPr="00B01BD3" w14:paraId="0EFA097A" w14:textId="77777777" w:rsidTr="00631695">
        <w:tc>
          <w:tcPr>
            <w:tcW w:w="9073" w:type="dxa"/>
          </w:tcPr>
          <w:p w14:paraId="7F2D7BF9" w14:textId="373654FF" w:rsidR="00631695" w:rsidRPr="00B01BD3" w:rsidRDefault="00631695" w:rsidP="00F80002">
            <w:pPr>
              <w:jc w:val="both"/>
              <w:rPr>
                <w:rFonts w:asciiTheme="minorHAnsi" w:hAnsiTheme="minorHAnsi" w:cstheme="minorHAnsi"/>
                <w:sz w:val="22"/>
                <w:szCs w:val="22"/>
                <w:lang w:val="fr-FR"/>
              </w:rPr>
            </w:pPr>
            <w:r w:rsidRPr="00B01BD3">
              <w:rPr>
                <w:rFonts w:asciiTheme="minorHAnsi" w:hAnsiTheme="minorHAnsi" w:cstheme="minorHAnsi"/>
                <w:sz w:val="22"/>
                <w:szCs w:val="22"/>
                <w:lang w:val="fr-FR"/>
              </w:rPr>
              <w:t>Ce règlement s’applique aux stagiaires dès le 1</w:t>
            </w:r>
            <w:r w:rsidRPr="00B01BD3">
              <w:rPr>
                <w:rFonts w:asciiTheme="minorHAnsi" w:hAnsiTheme="minorHAnsi" w:cstheme="minorHAnsi"/>
                <w:sz w:val="22"/>
                <w:szCs w:val="22"/>
                <w:vertAlign w:val="superscript"/>
                <w:lang w:val="fr-FR"/>
              </w:rPr>
              <w:t>er</w:t>
            </w:r>
            <w:r w:rsidRPr="00B01BD3">
              <w:rPr>
                <w:rFonts w:asciiTheme="minorHAnsi" w:hAnsiTheme="minorHAnsi" w:cstheme="minorHAnsi"/>
                <w:sz w:val="22"/>
                <w:szCs w:val="22"/>
                <w:lang w:val="fr-FR"/>
              </w:rPr>
              <w:t xml:space="preserve"> septembre 2016. </w:t>
            </w:r>
          </w:p>
        </w:tc>
      </w:tr>
      <w:tr w:rsidR="00631695" w:rsidRPr="00B01BD3" w14:paraId="1AE31282" w14:textId="77777777" w:rsidTr="00631695">
        <w:tc>
          <w:tcPr>
            <w:tcW w:w="9073" w:type="dxa"/>
          </w:tcPr>
          <w:p w14:paraId="79C1CD04" w14:textId="41E52E1D" w:rsidR="00631695" w:rsidRPr="00B01BD3" w:rsidRDefault="00631695" w:rsidP="00F80002">
            <w:pPr>
              <w:jc w:val="both"/>
              <w:rPr>
                <w:rFonts w:asciiTheme="minorHAnsi" w:hAnsiTheme="minorHAnsi" w:cstheme="minorHAnsi"/>
                <w:sz w:val="22"/>
                <w:szCs w:val="22"/>
                <w:lang w:val="fr-BE"/>
              </w:rPr>
            </w:pPr>
            <w:r w:rsidRPr="00B01BD3">
              <w:rPr>
                <w:rFonts w:asciiTheme="minorHAnsi" w:hAnsiTheme="minorHAnsi" w:cstheme="minorHAnsi"/>
                <w:sz w:val="22"/>
                <w:szCs w:val="22"/>
                <w:lang w:val="fr-BE"/>
              </w:rPr>
              <w:t>L’obligation de formation prévue à l’article 1</w:t>
            </w:r>
            <w:r w:rsidRPr="00B01BD3">
              <w:rPr>
                <w:rFonts w:asciiTheme="minorHAnsi" w:hAnsiTheme="minorHAnsi" w:cstheme="minorHAnsi"/>
                <w:sz w:val="22"/>
                <w:szCs w:val="22"/>
                <w:vertAlign w:val="superscript"/>
                <w:lang w:val="fr-BE"/>
              </w:rPr>
              <w:t>er</w:t>
            </w:r>
            <w:r w:rsidRPr="00B01BD3">
              <w:rPr>
                <w:rFonts w:asciiTheme="minorHAnsi" w:hAnsiTheme="minorHAnsi" w:cstheme="minorHAnsi"/>
                <w:sz w:val="22"/>
                <w:szCs w:val="22"/>
                <w:lang w:val="fr-BE"/>
              </w:rPr>
              <w:t>, alinéa quatre, est d’application aux notaires dont la première nomination ou désignation est entrée en vigueur à partir du 1</w:t>
            </w:r>
            <w:r w:rsidRPr="00B01BD3">
              <w:rPr>
                <w:rFonts w:asciiTheme="minorHAnsi" w:hAnsiTheme="minorHAnsi" w:cstheme="minorHAnsi"/>
                <w:sz w:val="22"/>
                <w:szCs w:val="22"/>
                <w:vertAlign w:val="superscript"/>
                <w:lang w:val="fr-BE"/>
              </w:rPr>
              <w:t>er</w:t>
            </w:r>
            <w:r w:rsidRPr="00B01BD3">
              <w:rPr>
                <w:rFonts w:asciiTheme="minorHAnsi" w:hAnsiTheme="minorHAnsi" w:cstheme="minorHAnsi"/>
                <w:sz w:val="22"/>
                <w:szCs w:val="22"/>
                <w:lang w:val="fr-BE"/>
              </w:rPr>
              <w:t xml:space="preserve"> janvier 2024.</w:t>
            </w:r>
          </w:p>
        </w:tc>
      </w:tr>
      <w:tr w:rsidR="00631695" w:rsidRPr="00B01BD3" w14:paraId="291F253F" w14:textId="77777777" w:rsidTr="00631695">
        <w:tc>
          <w:tcPr>
            <w:tcW w:w="9073" w:type="dxa"/>
          </w:tcPr>
          <w:p w14:paraId="27E2212B" w14:textId="25257789" w:rsidR="00631695" w:rsidRPr="00B01BD3" w:rsidRDefault="00631695" w:rsidP="00F80002">
            <w:pPr>
              <w:jc w:val="both"/>
              <w:rPr>
                <w:rFonts w:asciiTheme="minorHAnsi" w:hAnsiTheme="minorHAnsi" w:cstheme="minorHAnsi"/>
                <w:sz w:val="22"/>
                <w:szCs w:val="22"/>
                <w:lang w:val="fr-BE"/>
              </w:rPr>
            </w:pPr>
            <w:r w:rsidRPr="00B01BD3">
              <w:rPr>
                <w:rFonts w:asciiTheme="minorHAnsi" w:hAnsiTheme="minorHAnsi" w:cstheme="minorHAnsi"/>
                <w:sz w:val="22"/>
                <w:szCs w:val="22"/>
                <w:lang w:val="fr-BE"/>
              </w:rPr>
              <w:t>L’obligation de formation prévue à l’article 1</w:t>
            </w:r>
            <w:r w:rsidRPr="00B01BD3">
              <w:rPr>
                <w:rFonts w:asciiTheme="minorHAnsi" w:hAnsiTheme="minorHAnsi" w:cstheme="minorHAnsi"/>
                <w:sz w:val="22"/>
                <w:szCs w:val="22"/>
                <w:vertAlign w:val="superscript"/>
                <w:lang w:val="fr-BE"/>
              </w:rPr>
              <w:t>er</w:t>
            </w:r>
            <w:r w:rsidRPr="00B01BD3">
              <w:rPr>
                <w:rFonts w:asciiTheme="minorHAnsi" w:hAnsiTheme="minorHAnsi" w:cstheme="minorHAnsi"/>
                <w:sz w:val="22"/>
                <w:szCs w:val="22"/>
                <w:lang w:val="fr-BE"/>
              </w:rPr>
              <w:t>, alinéa six, est d’application aux stagiaires dont le stage a débuté à partir du 1</w:t>
            </w:r>
            <w:r w:rsidRPr="00B01BD3">
              <w:rPr>
                <w:rFonts w:asciiTheme="minorHAnsi" w:hAnsiTheme="minorHAnsi" w:cstheme="minorHAnsi"/>
                <w:sz w:val="22"/>
                <w:szCs w:val="22"/>
                <w:vertAlign w:val="superscript"/>
                <w:lang w:val="fr-BE"/>
              </w:rPr>
              <w:t>er</w:t>
            </w:r>
            <w:r w:rsidRPr="00B01BD3">
              <w:rPr>
                <w:rFonts w:asciiTheme="minorHAnsi" w:hAnsiTheme="minorHAnsi" w:cstheme="minorHAnsi"/>
                <w:sz w:val="22"/>
                <w:szCs w:val="22"/>
                <w:lang w:val="fr-BE"/>
              </w:rPr>
              <w:t xml:space="preserve"> janvier 2024.</w:t>
            </w:r>
          </w:p>
        </w:tc>
      </w:tr>
    </w:tbl>
    <w:p w14:paraId="7F092A5F" w14:textId="77777777" w:rsidR="00BE0A34" w:rsidRPr="00B01BD3" w:rsidRDefault="00BE0A34">
      <w:pPr>
        <w:rPr>
          <w:rFonts w:asciiTheme="minorHAnsi" w:hAnsiTheme="minorHAnsi" w:cstheme="minorHAnsi"/>
          <w:sz w:val="22"/>
          <w:szCs w:val="22"/>
          <w:lang w:val="fr-FR"/>
        </w:rPr>
      </w:pPr>
    </w:p>
    <w:sectPr w:rsidR="00BE0A34" w:rsidRPr="00B01BD3" w:rsidSect="005D37C9">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2E79" w14:textId="77777777" w:rsidR="00C428A2" w:rsidRDefault="00C428A2">
      <w:r>
        <w:separator/>
      </w:r>
    </w:p>
  </w:endnote>
  <w:endnote w:type="continuationSeparator" w:id="0">
    <w:p w14:paraId="57648316" w14:textId="77777777" w:rsidR="00C428A2" w:rsidRDefault="00C4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AA5B" w14:textId="77777777" w:rsidR="009A0CFB" w:rsidRDefault="009A0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353">
      <w:rPr>
        <w:rStyle w:val="PageNumber"/>
        <w:noProof/>
      </w:rPr>
      <w:t>7</w:t>
    </w:r>
    <w:r>
      <w:rPr>
        <w:rStyle w:val="PageNumber"/>
      </w:rPr>
      <w:fldChar w:fldCharType="end"/>
    </w:r>
  </w:p>
  <w:p w14:paraId="7FEA4E41" w14:textId="77777777" w:rsidR="009A0CFB" w:rsidRDefault="009A0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891E" w14:textId="77777777" w:rsidR="009A0CFB" w:rsidRPr="00DA775C" w:rsidRDefault="009A0CFB">
    <w:pPr>
      <w:pStyle w:val="Footer"/>
      <w:jc w:val="center"/>
      <w:rPr>
        <w:rFonts w:asciiTheme="minorHAnsi" w:hAnsiTheme="minorHAnsi"/>
        <w:sz w:val="22"/>
        <w:szCs w:val="22"/>
      </w:rPr>
    </w:pPr>
    <w:r w:rsidRPr="00DA775C">
      <w:rPr>
        <w:rFonts w:asciiTheme="minorHAnsi" w:hAnsiTheme="minorHAnsi"/>
        <w:sz w:val="22"/>
        <w:szCs w:val="22"/>
      </w:rPr>
      <w:fldChar w:fldCharType="begin"/>
    </w:r>
    <w:r w:rsidRPr="00DA775C">
      <w:rPr>
        <w:rFonts w:asciiTheme="minorHAnsi" w:hAnsiTheme="minorHAnsi"/>
        <w:sz w:val="22"/>
        <w:szCs w:val="22"/>
      </w:rPr>
      <w:instrText xml:space="preserve"> PAGE   \* MERGEFORMAT </w:instrText>
    </w:r>
    <w:r w:rsidRPr="00DA775C">
      <w:rPr>
        <w:rFonts w:asciiTheme="minorHAnsi" w:hAnsiTheme="minorHAnsi"/>
        <w:sz w:val="22"/>
        <w:szCs w:val="22"/>
      </w:rPr>
      <w:fldChar w:fldCharType="separate"/>
    </w:r>
    <w:r w:rsidR="00DF25E9">
      <w:rPr>
        <w:rFonts w:asciiTheme="minorHAnsi" w:hAnsiTheme="minorHAnsi"/>
        <w:noProof/>
        <w:sz w:val="22"/>
        <w:szCs w:val="22"/>
      </w:rPr>
      <w:t>6</w:t>
    </w:r>
    <w:r w:rsidRPr="00DA775C">
      <w:rPr>
        <w:rFonts w:asciiTheme="minorHAnsi" w:hAnsiTheme="minorHAnsi"/>
        <w:sz w:val="22"/>
        <w:szCs w:val="22"/>
      </w:rPr>
      <w:fldChar w:fldCharType="end"/>
    </w:r>
  </w:p>
  <w:p w14:paraId="1A953F88" w14:textId="77777777" w:rsidR="009A0CFB" w:rsidRDefault="009A0C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968419"/>
      <w:docPartObj>
        <w:docPartGallery w:val="Page Numbers (Bottom of Page)"/>
        <w:docPartUnique/>
      </w:docPartObj>
    </w:sdtPr>
    <w:sdtEndPr>
      <w:rPr>
        <w:rFonts w:asciiTheme="minorHAnsi" w:hAnsiTheme="minorHAnsi"/>
        <w:noProof/>
        <w:sz w:val="22"/>
        <w:szCs w:val="22"/>
      </w:rPr>
    </w:sdtEndPr>
    <w:sdtContent>
      <w:p w14:paraId="551CACE5" w14:textId="77777777" w:rsidR="00120070" w:rsidRPr="00120070" w:rsidRDefault="00120070">
        <w:pPr>
          <w:pStyle w:val="Footer"/>
          <w:jc w:val="center"/>
          <w:rPr>
            <w:rFonts w:asciiTheme="minorHAnsi" w:hAnsiTheme="minorHAnsi"/>
            <w:sz w:val="22"/>
            <w:szCs w:val="22"/>
          </w:rPr>
        </w:pPr>
        <w:r w:rsidRPr="00120070">
          <w:rPr>
            <w:rFonts w:asciiTheme="minorHAnsi" w:hAnsiTheme="minorHAnsi"/>
            <w:sz w:val="22"/>
            <w:szCs w:val="22"/>
          </w:rPr>
          <w:fldChar w:fldCharType="begin"/>
        </w:r>
        <w:r w:rsidRPr="00120070">
          <w:rPr>
            <w:rFonts w:asciiTheme="minorHAnsi" w:hAnsiTheme="minorHAnsi"/>
            <w:sz w:val="22"/>
            <w:szCs w:val="22"/>
          </w:rPr>
          <w:instrText xml:space="preserve"> PAGE   \* MERGEFORMAT </w:instrText>
        </w:r>
        <w:r w:rsidRPr="00120070">
          <w:rPr>
            <w:rFonts w:asciiTheme="minorHAnsi" w:hAnsiTheme="minorHAnsi"/>
            <w:sz w:val="22"/>
            <w:szCs w:val="22"/>
          </w:rPr>
          <w:fldChar w:fldCharType="separate"/>
        </w:r>
        <w:r w:rsidR="005D37C9">
          <w:rPr>
            <w:rFonts w:asciiTheme="minorHAnsi" w:hAnsiTheme="minorHAnsi"/>
            <w:noProof/>
            <w:sz w:val="22"/>
            <w:szCs w:val="22"/>
          </w:rPr>
          <w:t>1</w:t>
        </w:r>
        <w:r w:rsidRPr="00120070">
          <w:rPr>
            <w:rFonts w:asciiTheme="minorHAnsi" w:hAnsiTheme="minorHAnsi"/>
            <w:noProof/>
            <w:sz w:val="22"/>
            <w:szCs w:val="22"/>
          </w:rPr>
          <w:fldChar w:fldCharType="end"/>
        </w:r>
      </w:p>
    </w:sdtContent>
  </w:sdt>
  <w:p w14:paraId="4821B664" w14:textId="77777777" w:rsidR="00120070" w:rsidRDefault="00120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288D" w14:textId="77777777" w:rsidR="00C428A2" w:rsidRDefault="00C428A2">
      <w:r>
        <w:separator/>
      </w:r>
    </w:p>
  </w:footnote>
  <w:footnote w:type="continuationSeparator" w:id="0">
    <w:p w14:paraId="56FD1F3D" w14:textId="77777777" w:rsidR="00C428A2" w:rsidRDefault="00C4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51A1" w14:textId="64E0C144" w:rsidR="00881821" w:rsidRPr="00A60D2D" w:rsidRDefault="00741281">
    <w:pPr>
      <w:pStyle w:val="Header"/>
      <w:rPr>
        <w:rFonts w:asciiTheme="minorHAnsi" w:hAnsiTheme="minorHAnsi" w:cstheme="minorHAnsi"/>
        <w:sz w:val="22"/>
        <w:szCs w:val="22"/>
        <w:lang w:val="nl-BE"/>
      </w:rPr>
    </w:pPr>
    <w:r>
      <w:rPr>
        <w:rFonts w:asciiTheme="minorHAnsi" w:hAnsiTheme="minorHAnsi" w:cstheme="minorHAnsi"/>
        <w:sz w:val="22"/>
        <w:szCs w:val="22"/>
        <w:lang w:val="nl-BE"/>
      </w:rPr>
      <w:t>30</w:t>
    </w:r>
    <w:r w:rsidR="00881821" w:rsidRPr="00A60D2D">
      <w:rPr>
        <w:rFonts w:asciiTheme="minorHAnsi" w:hAnsiTheme="minorHAnsi" w:cstheme="minorHAnsi"/>
        <w:sz w:val="22"/>
        <w:szCs w:val="22"/>
        <w:lang w:val="nl-BE"/>
      </w:rPr>
      <w:t>/0</w:t>
    </w:r>
    <w:r w:rsidR="00B01BD3">
      <w:rPr>
        <w:rFonts w:asciiTheme="minorHAnsi" w:hAnsiTheme="minorHAnsi" w:cstheme="minorHAnsi"/>
        <w:sz w:val="22"/>
        <w:szCs w:val="22"/>
        <w:lang w:val="nl-BE"/>
      </w:rPr>
      <w:t>6</w:t>
    </w:r>
    <w:r w:rsidR="00881821" w:rsidRPr="00A60D2D">
      <w:rPr>
        <w:rFonts w:asciiTheme="minorHAnsi" w:hAnsiTheme="minorHAnsi" w:cstheme="minorHAnsi"/>
        <w:sz w:val="22"/>
        <w:szCs w:val="22"/>
        <w:lang w:val="nl-BE"/>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BBB2" w14:textId="77777777" w:rsidR="005C7563" w:rsidRPr="005D37C9" w:rsidRDefault="005D37C9">
    <w:pPr>
      <w:pStyle w:val="Header"/>
      <w:rPr>
        <w:rFonts w:asciiTheme="minorHAnsi" w:hAnsiTheme="minorHAnsi" w:cstheme="minorHAnsi"/>
        <w:sz w:val="18"/>
        <w:szCs w:val="18"/>
        <w:lang w:val="fr-BE"/>
      </w:rPr>
    </w:pPr>
    <w:r w:rsidRPr="005D37C9">
      <w:rPr>
        <w:rFonts w:asciiTheme="minorHAnsi" w:hAnsiTheme="minorHAnsi" w:cstheme="minorHAnsi"/>
        <w:sz w:val="18"/>
        <w:szCs w:val="18"/>
        <w:lang w:val="fr-BE"/>
      </w:rPr>
      <w:t>24/01/2019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979"/>
    <w:multiLevelType w:val="hybridMultilevel"/>
    <w:tmpl w:val="B974420A"/>
    <w:lvl w:ilvl="0" w:tplc="039EFF34">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7CB4"/>
    <w:multiLevelType w:val="hybridMultilevel"/>
    <w:tmpl w:val="9D1A8AB8"/>
    <w:lvl w:ilvl="0" w:tplc="E4C881E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55594"/>
    <w:multiLevelType w:val="hybridMultilevel"/>
    <w:tmpl w:val="BE4CF02A"/>
    <w:lvl w:ilvl="0" w:tplc="45787DE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6093"/>
    <w:multiLevelType w:val="hybridMultilevel"/>
    <w:tmpl w:val="A0BE01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00D5A"/>
    <w:multiLevelType w:val="hybridMultilevel"/>
    <w:tmpl w:val="FAA4F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0D2CB8"/>
    <w:multiLevelType w:val="hybridMultilevel"/>
    <w:tmpl w:val="965262B2"/>
    <w:lvl w:ilvl="0" w:tplc="A79CC0A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9F7A87"/>
    <w:multiLevelType w:val="hybridMultilevel"/>
    <w:tmpl w:val="CA7C96C6"/>
    <w:lvl w:ilvl="0" w:tplc="9BC4159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91353"/>
    <w:multiLevelType w:val="hybridMultilevel"/>
    <w:tmpl w:val="FA96E442"/>
    <w:lvl w:ilvl="0" w:tplc="5EB6FF1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A0EEC"/>
    <w:multiLevelType w:val="hybridMultilevel"/>
    <w:tmpl w:val="6A408AD0"/>
    <w:lvl w:ilvl="0" w:tplc="F6B6689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A02EC"/>
    <w:multiLevelType w:val="hybridMultilevel"/>
    <w:tmpl w:val="B5CCDC50"/>
    <w:lvl w:ilvl="0" w:tplc="A91E7A0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E35B0F"/>
    <w:multiLevelType w:val="hybridMultilevel"/>
    <w:tmpl w:val="470C2CE4"/>
    <w:lvl w:ilvl="0" w:tplc="B1DCC3A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8F7170"/>
    <w:multiLevelType w:val="hybridMultilevel"/>
    <w:tmpl w:val="F458615E"/>
    <w:lvl w:ilvl="0" w:tplc="B7D29B4C">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16B81"/>
    <w:multiLevelType w:val="hybridMultilevel"/>
    <w:tmpl w:val="FAF4E416"/>
    <w:lvl w:ilvl="0" w:tplc="6100BAA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14CC1"/>
    <w:multiLevelType w:val="hybridMultilevel"/>
    <w:tmpl w:val="60A29776"/>
    <w:lvl w:ilvl="0" w:tplc="B1DCC3A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400D98"/>
    <w:multiLevelType w:val="hybridMultilevel"/>
    <w:tmpl w:val="869224DC"/>
    <w:lvl w:ilvl="0" w:tplc="CE9CB27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24FCE"/>
    <w:multiLevelType w:val="hybridMultilevel"/>
    <w:tmpl w:val="ED9E4D5C"/>
    <w:lvl w:ilvl="0" w:tplc="6BBC79A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80168"/>
    <w:multiLevelType w:val="hybridMultilevel"/>
    <w:tmpl w:val="8932A448"/>
    <w:lvl w:ilvl="0" w:tplc="A79CC0A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911C59"/>
    <w:multiLevelType w:val="hybridMultilevel"/>
    <w:tmpl w:val="7542CA40"/>
    <w:lvl w:ilvl="0" w:tplc="0F2A1C1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07F6C"/>
    <w:multiLevelType w:val="hybridMultilevel"/>
    <w:tmpl w:val="614C3B96"/>
    <w:lvl w:ilvl="0" w:tplc="051EC4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B30F83"/>
    <w:multiLevelType w:val="hybridMultilevel"/>
    <w:tmpl w:val="B6D6E884"/>
    <w:lvl w:ilvl="0" w:tplc="BF36EC5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3386B"/>
    <w:multiLevelType w:val="hybridMultilevel"/>
    <w:tmpl w:val="2D8C97F0"/>
    <w:lvl w:ilvl="0" w:tplc="5E2AC91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C6213"/>
    <w:multiLevelType w:val="hybridMultilevel"/>
    <w:tmpl w:val="7CC89FB8"/>
    <w:lvl w:ilvl="0" w:tplc="F27885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A57FDC"/>
    <w:multiLevelType w:val="hybridMultilevel"/>
    <w:tmpl w:val="7410FFAA"/>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2AC0507"/>
    <w:multiLevelType w:val="hybridMultilevel"/>
    <w:tmpl w:val="98B8337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4E54EDF"/>
    <w:multiLevelType w:val="hybridMultilevel"/>
    <w:tmpl w:val="F3908F76"/>
    <w:lvl w:ilvl="0" w:tplc="66CC143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924ED3"/>
    <w:multiLevelType w:val="hybridMultilevel"/>
    <w:tmpl w:val="72BCFEB4"/>
    <w:lvl w:ilvl="0" w:tplc="2D6AC4DA">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695930">
    <w:abstractNumId w:val="22"/>
  </w:num>
  <w:num w:numId="2" w16cid:durableId="284703984">
    <w:abstractNumId w:val="3"/>
  </w:num>
  <w:num w:numId="3" w16cid:durableId="1445492036">
    <w:abstractNumId w:val="23"/>
  </w:num>
  <w:num w:numId="4" w16cid:durableId="1045176613">
    <w:abstractNumId w:val="16"/>
  </w:num>
  <w:num w:numId="5" w16cid:durableId="927886871">
    <w:abstractNumId w:val="25"/>
  </w:num>
  <w:num w:numId="6" w16cid:durableId="1689794106">
    <w:abstractNumId w:val="5"/>
  </w:num>
  <w:num w:numId="7" w16cid:durableId="348027032">
    <w:abstractNumId w:val="9"/>
  </w:num>
  <w:num w:numId="8" w16cid:durableId="897204673">
    <w:abstractNumId w:val="18"/>
  </w:num>
  <w:num w:numId="9" w16cid:durableId="777064838">
    <w:abstractNumId w:val="4"/>
  </w:num>
  <w:num w:numId="10" w16cid:durableId="862549675">
    <w:abstractNumId w:val="21"/>
  </w:num>
  <w:num w:numId="11" w16cid:durableId="1721517490">
    <w:abstractNumId w:val="10"/>
  </w:num>
  <w:num w:numId="12" w16cid:durableId="815338164">
    <w:abstractNumId w:val="13"/>
  </w:num>
  <w:num w:numId="13" w16cid:durableId="604390889">
    <w:abstractNumId w:val="24"/>
  </w:num>
  <w:num w:numId="14" w16cid:durableId="794182252">
    <w:abstractNumId w:val="14"/>
  </w:num>
  <w:num w:numId="15" w16cid:durableId="590966759">
    <w:abstractNumId w:val="0"/>
  </w:num>
  <w:num w:numId="16" w16cid:durableId="2052072643">
    <w:abstractNumId w:val="12"/>
  </w:num>
  <w:num w:numId="17" w16cid:durableId="1490516021">
    <w:abstractNumId w:val="19"/>
  </w:num>
  <w:num w:numId="18" w16cid:durableId="1050227771">
    <w:abstractNumId w:val="15"/>
  </w:num>
  <w:num w:numId="19" w16cid:durableId="775640331">
    <w:abstractNumId w:val="1"/>
  </w:num>
  <w:num w:numId="20" w16cid:durableId="118452971">
    <w:abstractNumId w:val="7"/>
  </w:num>
  <w:num w:numId="21" w16cid:durableId="1066608809">
    <w:abstractNumId w:val="2"/>
  </w:num>
  <w:num w:numId="22" w16cid:durableId="1394817986">
    <w:abstractNumId w:val="20"/>
  </w:num>
  <w:num w:numId="23" w16cid:durableId="1740589725">
    <w:abstractNumId w:val="6"/>
  </w:num>
  <w:num w:numId="24" w16cid:durableId="378944605">
    <w:abstractNumId w:val="8"/>
  </w:num>
  <w:num w:numId="25" w16cid:durableId="1518614156">
    <w:abstractNumId w:val="11"/>
  </w:num>
  <w:num w:numId="26" w16cid:durableId="3008424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6C"/>
    <w:rsid w:val="00003CCC"/>
    <w:rsid w:val="00006437"/>
    <w:rsid w:val="000078E9"/>
    <w:rsid w:val="000106E7"/>
    <w:rsid w:val="0001613C"/>
    <w:rsid w:val="00025A98"/>
    <w:rsid w:val="0002617C"/>
    <w:rsid w:val="000327CB"/>
    <w:rsid w:val="00047BBA"/>
    <w:rsid w:val="0005022B"/>
    <w:rsid w:val="0005027B"/>
    <w:rsid w:val="00050A6A"/>
    <w:rsid w:val="00052F22"/>
    <w:rsid w:val="000632D1"/>
    <w:rsid w:val="00067D54"/>
    <w:rsid w:val="000716B4"/>
    <w:rsid w:val="0007386E"/>
    <w:rsid w:val="000818CE"/>
    <w:rsid w:val="000830A4"/>
    <w:rsid w:val="000956E6"/>
    <w:rsid w:val="00097353"/>
    <w:rsid w:val="00097C4A"/>
    <w:rsid w:val="000A2186"/>
    <w:rsid w:val="000A6EE0"/>
    <w:rsid w:val="000B0265"/>
    <w:rsid w:val="000B42C8"/>
    <w:rsid w:val="000B7F4B"/>
    <w:rsid w:val="000D5432"/>
    <w:rsid w:val="000D7A95"/>
    <w:rsid w:val="000E35C8"/>
    <w:rsid w:val="000F6FE1"/>
    <w:rsid w:val="00100A9F"/>
    <w:rsid w:val="001058A8"/>
    <w:rsid w:val="0011216A"/>
    <w:rsid w:val="0011380A"/>
    <w:rsid w:val="001143C6"/>
    <w:rsid w:val="00114803"/>
    <w:rsid w:val="00117F98"/>
    <w:rsid w:val="00120070"/>
    <w:rsid w:val="00124726"/>
    <w:rsid w:val="001413B7"/>
    <w:rsid w:val="001421A3"/>
    <w:rsid w:val="00142760"/>
    <w:rsid w:val="00144FF6"/>
    <w:rsid w:val="00146A85"/>
    <w:rsid w:val="001476E7"/>
    <w:rsid w:val="00150CEC"/>
    <w:rsid w:val="00157BCB"/>
    <w:rsid w:val="00160782"/>
    <w:rsid w:val="00162D27"/>
    <w:rsid w:val="00165B6B"/>
    <w:rsid w:val="00170A1C"/>
    <w:rsid w:val="00171914"/>
    <w:rsid w:val="001763EE"/>
    <w:rsid w:val="00180874"/>
    <w:rsid w:val="00184E71"/>
    <w:rsid w:val="00186651"/>
    <w:rsid w:val="00190004"/>
    <w:rsid w:val="00192CB3"/>
    <w:rsid w:val="001960BB"/>
    <w:rsid w:val="001A5AB6"/>
    <w:rsid w:val="001B0485"/>
    <w:rsid w:val="001B1041"/>
    <w:rsid w:val="001B2DB0"/>
    <w:rsid w:val="001D014C"/>
    <w:rsid w:val="001D1E49"/>
    <w:rsid w:val="001D5613"/>
    <w:rsid w:val="001E06DA"/>
    <w:rsid w:val="001E0CAC"/>
    <w:rsid w:val="001E61C2"/>
    <w:rsid w:val="001F4383"/>
    <w:rsid w:val="002017B8"/>
    <w:rsid w:val="0020300F"/>
    <w:rsid w:val="00204CB0"/>
    <w:rsid w:val="00207566"/>
    <w:rsid w:val="00211DC2"/>
    <w:rsid w:val="00221FCD"/>
    <w:rsid w:val="00233900"/>
    <w:rsid w:val="00236578"/>
    <w:rsid w:val="002411BE"/>
    <w:rsid w:val="00243C0D"/>
    <w:rsid w:val="002460C2"/>
    <w:rsid w:val="00264609"/>
    <w:rsid w:val="002654DE"/>
    <w:rsid w:val="002657B3"/>
    <w:rsid w:val="0027416D"/>
    <w:rsid w:val="002843E7"/>
    <w:rsid w:val="002860C6"/>
    <w:rsid w:val="00287B6D"/>
    <w:rsid w:val="00294E84"/>
    <w:rsid w:val="002A00B2"/>
    <w:rsid w:val="002C3EB6"/>
    <w:rsid w:val="002D198B"/>
    <w:rsid w:val="002D345A"/>
    <w:rsid w:val="002D783A"/>
    <w:rsid w:val="002E67EE"/>
    <w:rsid w:val="002E7D9B"/>
    <w:rsid w:val="002F2401"/>
    <w:rsid w:val="002F3F69"/>
    <w:rsid w:val="003245B9"/>
    <w:rsid w:val="00324FC6"/>
    <w:rsid w:val="003268E5"/>
    <w:rsid w:val="00331634"/>
    <w:rsid w:val="00331CE6"/>
    <w:rsid w:val="00335AC4"/>
    <w:rsid w:val="00340223"/>
    <w:rsid w:val="003449B9"/>
    <w:rsid w:val="00355C38"/>
    <w:rsid w:val="003601E5"/>
    <w:rsid w:val="0036389F"/>
    <w:rsid w:val="00366DB9"/>
    <w:rsid w:val="0037190A"/>
    <w:rsid w:val="00374DEE"/>
    <w:rsid w:val="00382C33"/>
    <w:rsid w:val="00390EBE"/>
    <w:rsid w:val="00395AB4"/>
    <w:rsid w:val="003A2B72"/>
    <w:rsid w:val="003B1597"/>
    <w:rsid w:val="003D1E1D"/>
    <w:rsid w:val="003D48E1"/>
    <w:rsid w:val="003D4F08"/>
    <w:rsid w:val="003D664A"/>
    <w:rsid w:val="003D7B21"/>
    <w:rsid w:val="003D7C3E"/>
    <w:rsid w:val="003E0638"/>
    <w:rsid w:val="003E1020"/>
    <w:rsid w:val="003E3378"/>
    <w:rsid w:val="003E34D1"/>
    <w:rsid w:val="003F4788"/>
    <w:rsid w:val="0043178A"/>
    <w:rsid w:val="0044629D"/>
    <w:rsid w:val="00451850"/>
    <w:rsid w:val="00452D27"/>
    <w:rsid w:val="0045428B"/>
    <w:rsid w:val="00457877"/>
    <w:rsid w:val="00461151"/>
    <w:rsid w:val="00471F07"/>
    <w:rsid w:val="00473831"/>
    <w:rsid w:val="0048040D"/>
    <w:rsid w:val="004847B1"/>
    <w:rsid w:val="004849B8"/>
    <w:rsid w:val="00490029"/>
    <w:rsid w:val="00497711"/>
    <w:rsid w:val="004A04E6"/>
    <w:rsid w:val="004A1AB2"/>
    <w:rsid w:val="004A530A"/>
    <w:rsid w:val="004A6BDF"/>
    <w:rsid w:val="004A796D"/>
    <w:rsid w:val="004B2B7B"/>
    <w:rsid w:val="004B3F38"/>
    <w:rsid w:val="004D03B0"/>
    <w:rsid w:val="004D336B"/>
    <w:rsid w:val="004D63EE"/>
    <w:rsid w:val="004D766A"/>
    <w:rsid w:val="00500473"/>
    <w:rsid w:val="00502188"/>
    <w:rsid w:val="0052110C"/>
    <w:rsid w:val="005235FE"/>
    <w:rsid w:val="00523E8E"/>
    <w:rsid w:val="005321C9"/>
    <w:rsid w:val="00536F8A"/>
    <w:rsid w:val="00540B3C"/>
    <w:rsid w:val="005614B0"/>
    <w:rsid w:val="005758D1"/>
    <w:rsid w:val="005A2DFC"/>
    <w:rsid w:val="005A3BC6"/>
    <w:rsid w:val="005A53ED"/>
    <w:rsid w:val="005C7563"/>
    <w:rsid w:val="005D02F3"/>
    <w:rsid w:val="005D13C0"/>
    <w:rsid w:val="005D37C9"/>
    <w:rsid w:val="005D406E"/>
    <w:rsid w:val="005E25FC"/>
    <w:rsid w:val="005E58E0"/>
    <w:rsid w:val="005F3049"/>
    <w:rsid w:val="005F3DF6"/>
    <w:rsid w:val="005F7F81"/>
    <w:rsid w:val="006061D1"/>
    <w:rsid w:val="00607601"/>
    <w:rsid w:val="00613A4B"/>
    <w:rsid w:val="006244B7"/>
    <w:rsid w:val="00630409"/>
    <w:rsid w:val="00630BC0"/>
    <w:rsid w:val="00631695"/>
    <w:rsid w:val="0066007F"/>
    <w:rsid w:val="00665A56"/>
    <w:rsid w:val="00672F37"/>
    <w:rsid w:val="00673A22"/>
    <w:rsid w:val="00674057"/>
    <w:rsid w:val="006741B5"/>
    <w:rsid w:val="00681675"/>
    <w:rsid w:val="00681CC4"/>
    <w:rsid w:val="00687202"/>
    <w:rsid w:val="00691719"/>
    <w:rsid w:val="0069693B"/>
    <w:rsid w:val="006A37C0"/>
    <w:rsid w:val="006A45D4"/>
    <w:rsid w:val="006A68C8"/>
    <w:rsid w:val="006A7C6D"/>
    <w:rsid w:val="006B0354"/>
    <w:rsid w:val="006C00B4"/>
    <w:rsid w:val="006C4426"/>
    <w:rsid w:val="006D12BC"/>
    <w:rsid w:val="006D3FB5"/>
    <w:rsid w:val="006E1612"/>
    <w:rsid w:val="006E3CB1"/>
    <w:rsid w:val="006E5B4A"/>
    <w:rsid w:val="006E6D52"/>
    <w:rsid w:val="006F0439"/>
    <w:rsid w:val="00700D98"/>
    <w:rsid w:val="00710E29"/>
    <w:rsid w:val="00723708"/>
    <w:rsid w:val="007243B7"/>
    <w:rsid w:val="0072580F"/>
    <w:rsid w:val="00730E09"/>
    <w:rsid w:val="00741281"/>
    <w:rsid w:val="00741503"/>
    <w:rsid w:val="00741668"/>
    <w:rsid w:val="00741D55"/>
    <w:rsid w:val="007423DF"/>
    <w:rsid w:val="00742856"/>
    <w:rsid w:val="00747929"/>
    <w:rsid w:val="007517DB"/>
    <w:rsid w:val="00753C29"/>
    <w:rsid w:val="0075606B"/>
    <w:rsid w:val="00772105"/>
    <w:rsid w:val="007725FE"/>
    <w:rsid w:val="00774858"/>
    <w:rsid w:val="00774D77"/>
    <w:rsid w:val="0078014F"/>
    <w:rsid w:val="0078139A"/>
    <w:rsid w:val="007869DB"/>
    <w:rsid w:val="00791652"/>
    <w:rsid w:val="007967C8"/>
    <w:rsid w:val="007A0D4B"/>
    <w:rsid w:val="007A107C"/>
    <w:rsid w:val="007A3C52"/>
    <w:rsid w:val="007B38EB"/>
    <w:rsid w:val="007B68D3"/>
    <w:rsid w:val="007C473D"/>
    <w:rsid w:val="007C60C5"/>
    <w:rsid w:val="007C7AD3"/>
    <w:rsid w:val="007D022F"/>
    <w:rsid w:val="007D6891"/>
    <w:rsid w:val="007D7E00"/>
    <w:rsid w:val="007F4D7C"/>
    <w:rsid w:val="007F5E33"/>
    <w:rsid w:val="007F6237"/>
    <w:rsid w:val="008042D3"/>
    <w:rsid w:val="00813ACB"/>
    <w:rsid w:val="00815C4F"/>
    <w:rsid w:val="008225C8"/>
    <w:rsid w:val="0082322B"/>
    <w:rsid w:val="00830FB0"/>
    <w:rsid w:val="00831689"/>
    <w:rsid w:val="00835B84"/>
    <w:rsid w:val="00840907"/>
    <w:rsid w:val="008414E9"/>
    <w:rsid w:val="008436EF"/>
    <w:rsid w:val="0085023B"/>
    <w:rsid w:val="00851091"/>
    <w:rsid w:val="008710C2"/>
    <w:rsid w:val="00874ED5"/>
    <w:rsid w:val="00875CD6"/>
    <w:rsid w:val="00876FA9"/>
    <w:rsid w:val="00877BFC"/>
    <w:rsid w:val="00881821"/>
    <w:rsid w:val="0089410A"/>
    <w:rsid w:val="0089529D"/>
    <w:rsid w:val="008A0419"/>
    <w:rsid w:val="008A2FA7"/>
    <w:rsid w:val="008A383C"/>
    <w:rsid w:val="008A3933"/>
    <w:rsid w:val="008B5683"/>
    <w:rsid w:val="008C5947"/>
    <w:rsid w:val="008C5FBD"/>
    <w:rsid w:val="008C7E69"/>
    <w:rsid w:val="008D3502"/>
    <w:rsid w:val="008E3E88"/>
    <w:rsid w:val="008F03FA"/>
    <w:rsid w:val="00906D13"/>
    <w:rsid w:val="00910727"/>
    <w:rsid w:val="00912478"/>
    <w:rsid w:val="00915CE3"/>
    <w:rsid w:val="0092497F"/>
    <w:rsid w:val="00925A25"/>
    <w:rsid w:val="00933EE8"/>
    <w:rsid w:val="009367F0"/>
    <w:rsid w:val="009408A6"/>
    <w:rsid w:val="00944C86"/>
    <w:rsid w:val="009466A2"/>
    <w:rsid w:val="0095591B"/>
    <w:rsid w:val="00961647"/>
    <w:rsid w:val="00963A6C"/>
    <w:rsid w:val="00964E2C"/>
    <w:rsid w:val="00980A09"/>
    <w:rsid w:val="009A0CFB"/>
    <w:rsid w:val="009A1259"/>
    <w:rsid w:val="009A73FE"/>
    <w:rsid w:val="009B1A9A"/>
    <w:rsid w:val="009C0FE3"/>
    <w:rsid w:val="009C4DEE"/>
    <w:rsid w:val="009C7EDC"/>
    <w:rsid w:val="009D4657"/>
    <w:rsid w:val="009E415B"/>
    <w:rsid w:val="009E61BC"/>
    <w:rsid w:val="009F1523"/>
    <w:rsid w:val="009F6070"/>
    <w:rsid w:val="009F6D4B"/>
    <w:rsid w:val="009F7723"/>
    <w:rsid w:val="00A03329"/>
    <w:rsid w:val="00A05ED3"/>
    <w:rsid w:val="00A13869"/>
    <w:rsid w:val="00A13BF9"/>
    <w:rsid w:val="00A150DA"/>
    <w:rsid w:val="00A166F0"/>
    <w:rsid w:val="00A17A50"/>
    <w:rsid w:val="00A3499D"/>
    <w:rsid w:val="00A37A47"/>
    <w:rsid w:val="00A41A0A"/>
    <w:rsid w:val="00A4769E"/>
    <w:rsid w:val="00A504C9"/>
    <w:rsid w:val="00A60D2D"/>
    <w:rsid w:val="00A72040"/>
    <w:rsid w:val="00A73124"/>
    <w:rsid w:val="00A83DE4"/>
    <w:rsid w:val="00A86299"/>
    <w:rsid w:val="00A86B6A"/>
    <w:rsid w:val="00A91190"/>
    <w:rsid w:val="00A93E4C"/>
    <w:rsid w:val="00A942F0"/>
    <w:rsid w:val="00A95E8D"/>
    <w:rsid w:val="00AA2CFB"/>
    <w:rsid w:val="00AA2DDB"/>
    <w:rsid w:val="00AA74AE"/>
    <w:rsid w:val="00AC3320"/>
    <w:rsid w:val="00AD5655"/>
    <w:rsid w:val="00AE0C17"/>
    <w:rsid w:val="00AE2CF8"/>
    <w:rsid w:val="00AE6092"/>
    <w:rsid w:val="00AE7AE4"/>
    <w:rsid w:val="00AF69DF"/>
    <w:rsid w:val="00AF7116"/>
    <w:rsid w:val="00B01BD3"/>
    <w:rsid w:val="00B02817"/>
    <w:rsid w:val="00B04A77"/>
    <w:rsid w:val="00B04D9C"/>
    <w:rsid w:val="00B22D04"/>
    <w:rsid w:val="00B246D3"/>
    <w:rsid w:val="00B32E97"/>
    <w:rsid w:val="00B41705"/>
    <w:rsid w:val="00B530CE"/>
    <w:rsid w:val="00B53404"/>
    <w:rsid w:val="00B5511D"/>
    <w:rsid w:val="00B66073"/>
    <w:rsid w:val="00B70892"/>
    <w:rsid w:val="00B70A20"/>
    <w:rsid w:val="00B84830"/>
    <w:rsid w:val="00B97788"/>
    <w:rsid w:val="00BB3AF7"/>
    <w:rsid w:val="00BC0D52"/>
    <w:rsid w:val="00BC229D"/>
    <w:rsid w:val="00BC62B7"/>
    <w:rsid w:val="00BD1479"/>
    <w:rsid w:val="00BD214C"/>
    <w:rsid w:val="00BD452C"/>
    <w:rsid w:val="00BD536D"/>
    <w:rsid w:val="00BD6A07"/>
    <w:rsid w:val="00BE0A34"/>
    <w:rsid w:val="00BE2E60"/>
    <w:rsid w:val="00BE3392"/>
    <w:rsid w:val="00BE5B47"/>
    <w:rsid w:val="00BF21C5"/>
    <w:rsid w:val="00C028C2"/>
    <w:rsid w:val="00C16BB5"/>
    <w:rsid w:val="00C17125"/>
    <w:rsid w:val="00C221D3"/>
    <w:rsid w:val="00C428A2"/>
    <w:rsid w:val="00C42F34"/>
    <w:rsid w:val="00C447F7"/>
    <w:rsid w:val="00C4562D"/>
    <w:rsid w:val="00C468B6"/>
    <w:rsid w:val="00C51657"/>
    <w:rsid w:val="00C52E69"/>
    <w:rsid w:val="00C573B2"/>
    <w:rsid w:val="00C63E5F"/>
    <w:rsid w:val="00C6487E"/>
    <w:rsid w:val="00C764F3"/>
    <w:rsid w:val="00C823AB"/>
    <w:rsid w:val="00C91A58"/>
    <w:rsid w:val="00CA128D"/>
    <w:rsid w:val="00CB5C6A"/>
    <w:rsid w:val="00CC73C8"/>
    <w:rsid w:val="00CC7787"/>
    <w:rsid w:val="00CD29CB"/>
    <w:rsid w:val="00CD4B0B"/>
    <w:rsid w:val="00CD62D7"/>
    <w:rsid w:val="00CD78EB"/>
    <w:rsid w:val="00CF2D28"/>
    <w:rsid w:val="00CF44D5"/>
    <w:rsid w:val="00D14B69"/>
    <w:rsid w:val="00D25122"/>
    <w:rsid w:val="00D33388"/>
    <w:rsid w:val="00D358D9"/>
    <w:rsid w:val="00D434A9"/>
    <w:rsid w:val="00D45D98"/>
    <w:rsid w:val="00D57C16"/>
    <w:rsid w:val="00D57CB8"/>
    <w:rsid w:val="00D75A03"/>
    <w:rsid w:val="00D83408"/>
    <w:rsid w:val="00D857AE"/>
    <w:rsid w:val="00D85ED9"/>
    <w:rsid w:val="00D8773A"/>
    <w:rsid w:val="00D8776D"/>
    <w:rsid w:val="00DA0DE2"/>
    <w:rsid w:val="00DA21CC"/>
    <w:rsid w:val="00DA58F3"/>
    <w:rsid w:val="00DA775C"/>
    <w:rsid w:val="00DB5002"/>
    <w:rsid w:val="00DC566C"/>
    <w:rsid w:val="00DC7DD9"/>
    <w:rsid w:val="00DE4479"/>
    <w:rsid w:val="00DE5965"/>
    <w:rsid w:val="00DF25E9"/>
    <w:rsid w:val="00DF5D7B"/>
    <w:rsid w:val="00E046E4"/>
    <w:rsid w:val="00E25708"/>
    <w:rsid w:val="00E32387"/>
    <w:rsid w:val="00E36F4C"/>
    <w:rsid w:val="00E41ECD"/>
    <w:rsid w:val="00E441FF"/>
    <w:rsid w:val="00E53E57"/>
    <w:rsid w:val="00E544AA"/>
    <w:rsid w:val="00E709AB"/>
    <w:rsid w:val="00E72DE6"/>
    <w:rsid w:val="00EB7CDC"/>
    <w:rsid w:val="00EC48A1"/>
    <w:rsid w:val="00EC78FA"/>
    <w:rsid w:val="00ED16BB"/>
    <w:rsid w:val="00ED1C97"/>
    <w:rsid w:val="00ED20B3"/>
    <w:rsid w:val="00ED5AC2"/>
    <w:rsid w:val="00EE05EB"/>
    <w:rsid w:val="00EF428F"/>
    <w:rsid w:val="00EF4BE5"/>
    <w:rsid w:val="00F003DB"/>
    <w:rsid w:val="00F06AE6"/>
    <w:rsid w:val="00F11E0E"/>
    <w:rsid w:val="00F245C3"/>
    <w:rsid w:val="00F31B74"/>
    <w:rsid w:val="00F33393"/>
    <w:rsid w:val="00F36C67"/>
    <w:rsid w:val="00F42113"/>
    <w:rsid w:val="00F43811"/>
    <w:rsid w:val="00F46359"/>
    <w:rsid w:val="00F522FE"/>
    <w:rsid w:val="00F62249"/>
    <w:rsid w:val="00F63F4D"/>
    <w:rsid w:val="00F80002"/>
    <w:rsid w:val="00F83962"/>
    <w:rsid w:val="00F8777A"/>
    <w:rsid w:val="00F92AF2"/>
    <w:rsid w:val="00F94680"/>
    <w:rsid w:val="00F96ABB"/>
    <w:rsid w:val="00FA02B8"/>
    <w:rsid w:val="00FA321B"/>
    <w:rsid w:val="00FC4092"/>
    <w:rsid w:val="00FC5928"/>
    <w:rsid w:val="00FD5A6A"/>
    <w:rsid w:val="00FD62A1"/>
    <w:rsid w:val="00FE1647"/>
    <w:rsid w:val="00FE6A95"/>
    <w:rsid w:val="00FE6F9D"/>
    <w:rsid w:val="00FF7407"/>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E5AE1"/>
  <w15:chartTrackingRefBased/>
  <w15:docId w15:val="{6A47CA0F-4B13-4B5B-807D-BD634A9E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szCs w:val="20"/>
      <w:u w:val="single"/>
      <w:lang w:val="fr-FR"/>
    </w:rPr>
  </w:style>
  <w:style w:type="paragraph" w:styleId="Heading3">
    <w:name w:val="heading 3"/>
    <w:basedOn w:val="Normal"/>
    <w:next w:val="Normal"/>
    <w:qFormat/>
    <w:pPr>
      <w:keepNext/>
      <w:jc w:val="both"/>
      <w:outlineLvl w:val="2"/>
    </w:pPr>
    <w:rPr>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w:hAnsi="Times"/>
      <w:sz w:val="24"/>
    </w:rPr>
  </w:style>
  <w:style w:type="paragraph" w:styleId="BodyText">
    <w:name w:val="Body Text"/>
    <w:basedOn w:val="Normal"/>
    <w:semiHidden/>
    <w:pPr>
      <w:jc w:val="both"/>
    </w:pPr>
    <w:rPr>
      <w:szCs w:val="20"/>
      <w:lang w:val="fr-FR"/>
    </w:rPr>
  </w:style>
  <w:style w:type="paragraph" w:styleId="BodyText2">
    <w:name w:val="Body Text 2"/>
    <w:basedOn w:val="Normal"/>
    <w:semiHidden/>
    <w:pPr>
      <w:jc w:val="center"/>
    </w:pPr>
    <w:rPr>
      <w:i/>
      <w:iCs/>
      <w:sz w:val="22"/>
      <w:lang w:val="fr-FR"/>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3">
    <w:name w:val="Body Text 3"/>
    <w:basedOn w:val="Normal"/>
    <w:semiHidden/>
    <w:pPr>
      <w:jc w:val="center"/>
    </w:pPr>
    <w:rPr>
      <w:b/>
      <w:bCs/>
      <w:lang w:val="nl-NL"/>
    </w:rPr>
  </w:style>
  <w:style w:type="character" w:customStyle="1" w:styleId="FooterChar">
    <w:name w:val="Footer Char"/>
    <w:link w:val="Footer"/>
    <w:uiPriority w:val="99"/>
    <w:rsid w:val="00BE0A34"/>
    <w:rPr>
      <w:sz w:val="24"/>
      <w:szCs w:val="24"/>
      <w:lang w:val="en-GB" w:eastAsia="en-US"/>
    </w:rPr>
  </w:style>
  <w:style w:type="paragraph" w:styleId="ListParagraph">
    <w:name w:val="List Paragraph"/>
    <w:basedOn w:val="Normal"/>
    <w:uiPriority w:val="34"/>
    <w:qFormat/>
    <w:rsid w:val="00741503"/>
    <w:pPr>
      <w:ind w:left="720"/>
      <w:contextualSpacing/>
    </w:pPr>
  </w:style>
  <w:style w:type="paragraph" w:styleId="BalloonText">
    <w:name w:val="Balloon Text"/>
    <w:basedOn w:val="Normal"/>
    <w:link w:val="BalloonTextChar"/>
    <w:uiPriority w:val="99"/>
    <w:semiHidden/>
    <w:unhideWhenUsed/>
    <w:rsid w:val="00FE1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647"/>
    <w:rPr>
      <w:rFonts w:ascii="Segoe UI" w:hAnsi="Segoe UI" w:cs="Segoe UI"/>
      <w:sz w:val="18"/>
      <w:szCs w:val="18"/>
      <w:lang w:val="en-GB"/>
    </w:rPr>
  </w:style>
  <w:style w:type="table" w:styleId="TableGrid">
    <w:name w:val="Table Grid"/>
    <w:basedOn w:val="TableNormal"/>
    <w:uiPriority w:val="59"/>
    <w:rsid w:val="00DA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2856"/>
    <w:rPr>
      <w:sz w:val="24"/>
      <w:szCs w:val="24"/>
      <w:lang w:val="en-GB"/>
    </w:rPr>
  </w:style>
  <w:style w:type="character" w:styleId="CommentReference">
    <w:name w:val="annotation reference"/>
    <w:basedOn w:val="DefaultParagraphFont"/>
    <w:uiPriority w:val="99"/>
    <w:semiHidden/>
    <w:unhideWhenUsed/>
    <w:rsid w:val="008A383C"/>
    <w:rPr>
      <w:sz w:val="16"/>
      <w:szCs w:val="16"/>
    </w:rPr>
  </w:style>
  <w:style w:type="paragraph" w:styleId="CommentText">
    <w:name w:val="annotation text"/>
    <w:basedOn w:val="Normal"/>
    <w:link w:val="CommentTextChar"/>
    <w:uiPriority w:val="99"/>
    <w:unhideWhenUsed/>
    <w:rsid w:val="008A383C"/>
    <w:rPr>
      <w:sz w:val="20"/>
      <w:szCs w:val="20"/>
    </w:rPr>
  </w:style>
  <w:style w:type="character" w:customStyle="1" w:styleId="CommentTextChar">
    <w:name w:val="Comment Text Char"/>
    <w:basedOn w:val="DefaultParagraphFont"/>
    <w:link w:val="CommentText"/>
    <w:uiPriority w:val="99"/>
    <w:rsid w:val="008A383C"/>
    <w:rPr>
      <w:lang w:val="en-GB"/>
    </w:rPr>
  </w:style>
  <w:style w:type="paragraph" w:styleId="CommentSubject">
    <w:name w:val="annotation subject"/>
    <w:basedOn w:val="CommentText"/>
    <w:next w:val="CommentText"/>
    <w:link w:val="CommentSubjectChar"/>
    <w:uiPriority w:val="99"/>
    <w:semiHidden/>
    <w:unhideWhenUsed/>
    <w:rsid w:val="008A383C"/>
    <w:rPr>
      <w:b/>
      <w:bCs/>
    </w:rPr>
  </w:style>
  <w:style w:type="character" w:customStyle="1" w:styleId="CommentSubjectChar">
    <w:name w:val="Comment Subject Char"/>
    <w:basedOn w:val="CommentTextChar"/>
    <w:link w:val="CommentSubject"/>
    <w:uiPriority w:val="99"/>
    <w:semiHidden/>
    <w:rsid w:val="008A383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2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FE606-6AD9-4B9A-BDBA-72E6F4AD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6813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NATIONALE KAMER VAN NOTARISSEN</vt:lpstr>
    </vt:vector>
  </TitlesOfParts>
  <Company>FRNB</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NATIONALE KAMER VAN NOTARISSEN</dc:title>
  <dc:subject/>
  <dc:creator>Dorien Verwimp</dc:creator>
  <cp:keywords/>
  <dc:description/>
  <cp:lastModifiedBy>Chantal Plugers</cp:lastModifiedBy>
  <cp:revision>3</cp:revision>
  <cp:lastPrinted>2023-05-22T09:40:00Z</cp:lastPrinted>
  <dcterms:created xsi:type="dcterms:W3CDTF">2023-07-07T07:30:00Z</dcterms:created>
  <dcterms:modified xsi:type="dcterms:W3CDTF">2023-07-07T07:32:00Z</dcterms:modified>
</cp:coreProperties>
</file>