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7C9" w:rsidRDefault="005D37C9" w:rsidP="005D37C9">
      <w:pPr>
        <w:spacing w:after="120"/>
        <w:jc w:val="center"/>
      </w:pPr>
      <w:bookmarkStart w:id="0" w:name="_GoBack"/>
      <w:bookmarkEnd w:id="0"/>
      <w:r>
        <w:rPr>
          <w:noProof/>
          <w:lang w:val="en-US"/>
        </w:rPr>
        <w:drawing>
          <wp:inline distT="0" distB="0" distL="0" distR="0">
            <wp:extent cx="4222800" cy="853200"/>
            <wp:effectExtent l="0" t="0" r="6350" b="4445"/>
            <wp:docPr id="2" name="Picture 2"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00" cy="853200"/>
                    </a:xfrm>
                    <a:prstGeom prst="rect">
                      <a:avLst/>
                    </a:prstGeom>
                  </pic:spPr>
                </pic:pic>
              </a:graphicData>
            </a:graphic>
          </wp:inline>
        </w:drawing>
      </w:r>
    </w:p>
    <w:tbl>
      <w:tblPr>
        <w:tblStyle w:val="TableGrid"/>
        <w:tblW w:w="8359" w:type="dxa"/>
        <w:tblBorders>
          <w:insideH w:val="none" w:sz="0" w:space="0" w:color="auto"/>
          <w:insideV w:val="none" w:sz="0" w:space="0" w:color="auto"/>
        </w:tblBorders>
        <w:tblCellMar>
          <w:top w:w="113" w:type="dxa"/>
          <w:bottom w:w="113" w:type="dxa"/>
        </w:tblCellMar>
        <w:tblLook w:val="04A0" w:firstRow="1" w:lastRow="0" w:firstColumn="1" w:lastColumn="0" w:noHBand="0" w:noVBand="1"/>
      </w:tblPr>
      <w:tblGrid>
        <w:gridCol w:w="8359"/>
      </w:tblGrid>
      <w:tr w:rsidR="00E038BA" w:rsidRPr="005D37C9" w:rsidTr="00E038BA">
        <w:tc>
          <w:tcPr>
            <w:tcW w:w="8359" w:type="dxa"/>
          </w:tcPr>
          <w:p w:rsidR="00E038BA" w:rsidRPr="005D37C9" w:rsidRDefault="00E038BA">
            <w:pPr>
              <w:pStyle w:val="Style"/>
              <w:widowControl/>
              <w:autoSpaceDE/>
              <w:autoSpaceDN/>
              <w:adjustRightInd/>
              <w:rPr>
                <w:rFonts w:ascii="Times New Roman" w:hAnsi="Times New Roman"/>
                <w:sz w:val="28"/>
                <w:szCs w:val="28"/>
                <w:lang w:val="nl-BE"/>
              </w:rPr>
            </w:pPr>
          </w:p>
        </w:tc>
      </w:tr>
      <w:tr w:rsidR="00E038BA" w:rsidRPr="00E038BA" w:rsidTr="00E038BA">
        <w:tc>
          <w:tcPr>
            <w:tcW w:w="8359" w:type="dxa"/>
          </w:tcPr>
          <w:p w:rsidR="00E038BA" w:rsidRPr="005D37C9" w:rsidRDefault="00E038BA" w:rsidP="005D37C9">
            <w:pPr>
              <w:pStyle w:val="Heading1"/>
              <w:jc w:val="center"/>
              <w:rPr>
                <w:sz w:val="28"/>
                <w:szCs w:val="28"/>
                <w:u w:val="none"/>
              </w:rPr>
            </w:pPr>
            <w:r w:rsidRPr="005D37C9">
              <w:rPr>
                <w:sz w:val="28"/>
                <w:szCs w:val="28"/>
                <w:u w:val="none"/>
              </w:rPr>
              <w:t>Règlement en matière de formation permanente</w:t>
            </w:r>
          </w:p>
        </w:tc>
      </w:tr>
      <w:tr w:rsidR="00E038BA" w:rsidRPr="00E038BA" w:rsidTr="00E038BA">
        <w:tc>
          <w:tcPr>
            <w:tcW w:w="8359" w:type="dxa"/>
          </w:tcPr>
          <w:p w:rsidR="00E038BA" w:rsidRPr="005D37C9" w:rsidRDefault="00E038BA" w:rsidP="005D37C9">
            <w:pPr>
              <w:pStyle w:val="BodyText2"/>
              <w:rPr>
                <w:i w:val="0"/>
                <w:iCs w:val="0"/>
                <w:szCs w:val="22"/>
              </w:rPr>
            </w:pPr>
            <w:r w:rsidRPr="005D37C9">
              <w:rPr>
                <w:szCs w:val="22"/>
              </w:rPr>
              <w:t>Adopté par l’assemblée générale de la Chambre nationale des notaires du 24 avril 2007 et modifié par l’assemblée générale du 22 janvier 2008 et l’assemblée générale du 20 janvier 2009, l’assemblée générale du 28 avril 2016 et l’assemblée générale du 24 janvier 2019</w:t>
            </w:r>
          </w:p>
        </w:tc>
      </w:tr>
      <w:tr w:rsidR="00E038BA" w:rsidRPr="00E038BA" w:rsidTr="00E038BA">
        <w:tc>
          <w:tcPr>
            <w:tcW w:w="8359" w:type="dxa"/>
          </w:tcPr>
          <w:p w:rsidR="00E038BA" w:rsidRPr="005D37C9" w:rsidRDefault="00E038BA" w:rsidP="005D37C9">
            <w:pPr>
              <w:jc w:val="both"/>
              <w:rPr>
                <w:b/>
                <w:bCs/>
                <w:sz w:val="22"/>
                <w:szCs w:val="22"/>
                <w:lang w:val="fr-FR"/>
              </w:rPr>
            </w:pPr>
            <w:r>
              <w:rPr>
                <w:b/>
                <w:bCs/>
                <w:sz w:val="22"/>
                <w:szCs w:val="22"/>
                <w:lang w:val="fr-FR"/>
              </w:rPr>
              <w:t>Article </w:t>
            </w:r>
            <w:r w:rsidRPr="005D37C9">
              <w:rPr>
                <w:b/>
                <w:bCs/>
                <w:sz w:val="22"/>
                <w:szCs w:val="22"/>
                <w:lang w:val="fr-FR"/>
              </w:rPr>
              <w:t>1</w:t>
            </w:r>
            <w:r w:rsidRPr="005D37C9">
              <w:rPr>
                <w:b/>
                <w:bCs/>
                <w:sz w:val="22"/>
                <w:szCs w:val="22"/>
                <w:vertAlign w:val="superscript"/>
                <w:lang w:val="fr-FR"/>
              </w:rPr>
              <w:t>er</w:t>
            </w:r>
            <w:r w:rsidRPr="005D37C9">
              <w:rPr>
                <w:b/>
                <w:bCs/>
                <w:sz w:val="22"/>
                <w:szCs w:val="22"/>
                <w:lang w:val="fr-FR"/>
              </w:rPr>
              <w:t>. Objet - Objectif - Obligation</w:t>
            </w:r>
          </w:p>
        </w:tc>
      </w:tr>
      <w:tr w:rsidR="00E038BA" w:rsidRPr="00E038BA" w:rsidTr="00E038BA">
        <w:tc>
          <w:tcPr>
            <w:tcW w:w="8359" w:type="dxa"/>
          </w:tcPr>
          <w:p w:rsidR="00E038BA" w:rsidRPr="005D37C9" w:rsidRDefault="00E038BA" w:rsidP="00DA775C">
            <w:pPr>
              <w:pStyle w:val="BodyText"/>
              <w:rPr>
                <w:sz w:val="22"/>
                <w:szCs w:val="22"/>
              </w:rPr>
            </w:pPr>
            <w:r w:rsidRPr="005D37C9">
              <w:rPr>
                <w:sz w:val="22"/>
                <w:szCs w:val="22"/>
              </w:rPr>
              <w:t>Ce règlement est édicté en application de l’article 91, alinéa 1</w:t>
            </w:r>
            <w:r w:rsidRPr="005D37C9">
              <w:rPr>
                <w:sz w:val="22"/>
                <w:szCs w:val="22"/>
                <w:vertAlign w:val="superscript"/>
              </w:rPr>
              <w:t>er</w:t>
            </w:r>
            <w:r w:rsidRPr="005D37C9">
              <w:rPr>
                <w:sz w:val="22"/>
                <w:szCs w:val="22"/>
              </w:rPr>
              <w:t>, 5°, de la loi du 25 ventôse an XI contenant organisation du notariat.</w:t>
            </w:r>
          </w:p>
        </w:tc>
      </w:tr>
      <w:tr w:rsidR="00E038BA" w:rsidRPr="00E038BA" w:rsidTr="00E038BA">
        <w:tc>
          <w:tcPr>
            <w:tcW w:w="8359" w:type="dxa"/>
          </w:tcPr>
          <w:p w:rsidR="00E038BA" w:rsidRPr="005D37C9" w:rsidRDefault="00E038BA" w:rsidP="00DA775C">
            <w:pPr>
              <w:pStyle w:val="BodyText"/>
              <w:rPr>
                <w:sz w:val="22"/>
                <w:szCs w:val="22"/>
              </w:rPr>
            </w:pPr>
            <w:r w:rsidRPr="005D37C9">
              <w:rPr>
                <w:sz w:val="22"/>
                <w:szCs w:val="22"/>
              </w:rPr>
              <w:t>La formation permanente a pour objectif de maintenir et promouvoir la qualité.</w:t>
            </w:r>
          </w:p>
        </w:tc>
      </w:tr>
      <w:tr w:rsidR="00E038BA" w:rsidRPr="00E038BA" w:rsidTr="00E038BA">
        <w:tc>
          <w:tcPr>
            <w:tcW w:w="8359" w:type="dxa"/>
          </w:tcPr>
          <w:p w:rsidR="00E038BA" w:rsidRPr="005D37C9" w:rsidRDefault="00E038BA" w:rsidP="00DA775C">
            <w:pPr>
              <w:jc w:val="both"/>
              <w:rPr>
                <w:sz w:val="22"/>
                <w:szCs w:val="22"/>
                <w:lang w:val="fr-FR"/>
              </w:rPr>
            </w:pPr>
            <w:r w:rsidRPr="005D37C9">
              <w:rPr>
                <w:sz w:val="22"/>
                <w:szCs w:val="22"/>
                <w:lang w:val="fr-FR"/>
              </w:rPr>
              <w:t>Elle constitue une obligation déontologique pour chaque notaire et chaque candidat-notaire.</w:t>
            </w:r>
          </w:p>
        </w:tc>
      </w:tr>
      <w:tr w:rsidR="00E038BA" w:rsidRPr="00E038BA" w:rsidTr="00E038BA">
        <w:tc>
          <w:tcPr>
            <w:tcW w:w="8359" w:type="dxa"/>
          </w:tcPr>
          <w:p w:rsidR="00E038BA" w:rsidRPr="005D37C9" w:rsidRDefault="00E038BA" w:rsidP="00DA775C">
            <w:pPr>
              <w:jc w:val="both"/>
              <w:rPr>
                <w:sz w:val="22"/>
                <w:szCs w:val="22"/>
                <w:lang w:val="fr-FR"/>
              </w:rPr>
            </w:pPr>
            <w:r w:rsidRPr="005D37C9">
              <w:rPr>
                <w:sz w:val="22"/>
                <w:szCs w:val="22"/>
                <w:lang w:val="fr-FR"/>
              </w:rPr>
              <w:t>Elle constitue une obligation pour chaque stagiaire, ressortant de ses obligations de stage et de l’obligation de se conformer aux règles relatives au stage décrétées par la Chambre nationale des notaires.</w:t>
            </w:r>
          </w:p>
        </w:tc>
      </w:tr>
      <w:tr w:rsidR="00E038BA" w:rsidRPr="00E038BA" w:rsidTr="00E038BA">
        <w:tc>
          <w:tcPr>
            <w:tcW w:w="8359" w:type="dxa"/>
          </w:tcPr>
          <w:p w:rsidR="00E038BA" w:rsidRPr="005D37C9" w:rsidRDefault="00E038BA" w:rsidP="00DA775C">
            <w:pPr>
              <w:jc w:val="both"/>
              <w:rPr>
                <w:sz w:val="22"/>
                <w:szCs w:val="22"/>
                <w:lang w:val="fr-FR"/>
              </w:rPr>
            </w:pPr>
            <w:r w:rsidRPr="005D37C9">
              <w:rPr>
                <w:sz w:val="22"/>
                <w:szCs w:val="22"/>
                <w:lang w:val="fr-FR"/>
              </w:rPr>
              <w:t>Cette obligation implique qu’ils doivent régulièrement compléter leur formation dans des matières juridiques et autres en rapport avec l’exercice de la profession notariale, notamment :</w:t>
            </w:r>
          </w:p>
        </w:tc>
      </w:tr>
      <w:tr w:rsidR="00E038BA" w:rsidRPr="00E038BA" w:rsidTr="00E038BA">
        <w:tc>
          <w:tcPr>
            <w:tcW w:w="8359" w:type="dxa"/>
          </w:tcPr>
          <w:p w:rsidR="00E038BA" w:rsidRPr="005D37C9" w:rsidRDefault="00E038BA" w:rsidP="00DA775C">
            <w:pPr>
              <w:pStyle w:val="ListParagraph"/>
              <w:numPr>
                <w:ilvl w:val="0"/>
                <w:numId w:val="7"/>
              </w:numPr>
              <w:jc w:val="both"/>
              <w:rPr>
                <w:sz w:val="22"/>
                <w:szCs w:val="22"/>
                <w:lang w:val="fr-FR"/>
              </w:rPr>
            </w:pPr>
            <w:r w:rsidRPr="005D37C9">
              <w:rPr>
                <w:sz w:val="22"/>
                <w:szCs w:val="22"/>
                <w:lang w:val="fr-FR"/>
              </w:rPr>
              <w:t>en suivant des cours, des formations sur l’internet et des formations à distance, en assistant à des conférences, en participant à des cercles d’étude et à des congrès ;</w:t>
            </w:r>
          </w:p>
        </w:tc>
      </w:tr>
      <w:tr w:rsidR="00E038BA" w:rsidRPr="00E038BA" w:rsidTr="00E038BA">
        <w:tc>
          <w:tcPr>
            <w:tcW w:w="8359" w:type="dxa"/>
          </w:tcPr>
          <w:p w:rsidR="00E038BA" w:rsidRPr="005D37C9" w:rsidRDefault="00E038BA" w:rsidP="00DA775C">
            <w:pPr>
              <w:pStyle w:val="ListParagraph"/>
              <w:numPr>
                <w:ilvl w:val="0"/>
                <w:numId w:val="7"/>
              </w:numPr>
              <w:jc w:val="both"/>
              <w:rPr>
                <w:sz w:val="22"/>
                <w:szCs w:val="22"/>
                <w:lang w:val="fr-FR"/>
              </w:rPr>
            </w:pPr>
            <w:r w:rsidRPr="005D37C9">
              <w:rPr>
                <w:sz w:val="22"/>
                <w:szCs w:val="22"/>
                <w:lang w:val="fr-FR"/>
              </w:rPr>
              <w:t>en prenant part à des échanges entre pairs ;</w:t>
            </w:r>
          </w:p>
        </w:tc>
      </w:tr>
      <w:tr w:rsidR="00E038BA" w:rsidRPr="00E038BA" w:rsidTr="00E038BA">
        <w:tc>
          <w:tcPr>
            <w:tcW w:w="8359" w:type="dxa"/>
          </w:tcPr>
          <w:p w:rsidR="00E038BA" w:rsidRPr="005D37C9" w:rsidRDefault="00E038BA" w:rsidP="00DA775C">
            <w:pPr>
              <w:pStyle w:val="ListParagraph"/>
              <w:numPr>
                <w:ilvl w:val="0"/>
                <w:numId w:val="4"/>
              </w:numPr>
              <w:jc w:val="both"/>
              <w:rPr>
                <w:sz w:val="22"/>
                <w:szCs w:val="22"/>
                <w:lang w:val="fr-FR"/>
              </w:rPr>
            </w:pPr>
            <w:r w:rsidRPr="005D37C9">
              <w:rPr>
                <w:sz w:val="22"/>
                <w:szCs w:val="22"/>
                <w:lang w:val="fr-FR"/>
              </w:rPr>
              <w:t>comme chargé de cours</w:t>
            </w:r>
            <w:r w:rsidRPr="005D37C9">
              <w:rPr>
                <w:sz w:val="22"/>
                <w:szCs w:val="22"/>
                <w:lang w:val="fr-BE"/>
              </w:rPr>
              <w:t xml:space="preserve"> </w:t>
            </w:r>
            <w:r w:rsidRPr="005D37C9">
              <w:rPr>
                <w:sz w:val="22"/>
                <w:szCs w:val="22"/>
                <w:lang w:val="fr-FR"/>
              </w:rPr>
              <w:t>de formations agré</w:t>
            </w:r>
            <w:r w:rsidR="00D35FE1">
              <w:rPr>
                <w:sz w:val="22"/>
                <w:szCs w:val="22"/>
                <w:lang w:val="fr-FR"/>
              </w:rPr>
              <w:t>é</w:t>
            </w:r>
            <w:r w:rsidRPr="005D37C9">
              <w:rPr>
                <w:sz w:val="22"/>
                <w:szCs w:val="22"/>
                <w:lang w:val="fr-FR"/>
              </w:rPr>
              <w:t>es par la Chambre nationale des notaires,</w:t>
            </w:r>
            <w:r w:rsidRPr="005D37C9">
              <w:rPr>
                <w:sz w:val="22"/>
                <w:szCs w:val="22"/>
                <w:lang w:val="fr-BE"/>
              </w:rPr>
              <w:t xml:space="preserve"> </w:t>
            </w:r>
            <w:r w:rsidRPr="005D37C9">
              <w:rPr>
                <w:sz w:val="22"/>
                <w:szCs w:val="22"/>
                <w:lang w:val="fr-FR"/>
              </w:rPr>
              <w:t>de conférences et de cours à caractère juridique qui sont donnés à des professionnels et étudiants d’écoles supérieures et d’universités ;</w:t>
            </w:r>
          </w:p>
        </w:tc>
      </w:tr>
      <w:tr w:rsidR="00E038BA" w:rsidRPr="00E038BA" w:rsidTr="00E038BA">
        <w:tc>
          <w:tcPr>
            <w:tcW w:w="8359" w:type="dxa"/>
          </w:tcPr>
          <w:p w:rsidR="00E038BA" w:rsidRPr="005D37C9" w:rsidRDefault="00E038BA" w:rsidP="00DA775C">
            <w:pPr>
              <w:pStyle w:val="ListParagraph"/>
              <w:numPr>
                <w:ilvl w:val="0"/>
                <w:numId w:val="4"/>
              </w:numPr>
              <w:jc w:val="both"/>
              <w:rPr>
                <w:sz w:val="22"/>
                <w:szCs w:val="22"/>
                <w:lang w:val="fr-FR"/>
              </w:rPr>
            </w:pPr>
            <w:r w:rsidRPr="005D37C9">
              <w:rPr>
                <w:sz w:val="22"/>
                <w:szCs w:val="22"/>
                <w:lang w:val="fr-FR"/>
              </w:rPr>
              <w:t>comme membre d’un comité de rédaction ou en étant actif régulièrement pour des revues juridiques ;</w:t>
            </w:r>
          </w:p>
        </w:tc>
      </w:tr>
      <w:tr w:rsidR="00E038BA" w:rsidRPr="005D37C9" w:rsidTr="00E038BA">
        <w:tc>
          <w:tcPr>
            <w:tcW w:w="8359" w:type="dxa"/>
          </w:tcPr>
          <w:p w:rsidR="00E038BA" w:rsidRPr="005D37C9" w:rsidRDefault="00E038BA" w:rsidP="00DA775C">
            <w:pPr>
              <w:pStyle w:val="ListParagraph"/>
              <w:numPr>
                <w:ilvl w:val="0"/>
                <w:numId w:val="4"/>
              </w:numPr>
              <w:jc w:val="both"/>
              <w:rPr>
                <w:sz w:val="22"/>
                <w:szCs w:val="22"/>
                <w:lang w:val="fr-FR"/>
              </w:rPr>
            </w:pPr>
            <w:r w:rsidRPr="005D37C9">
              <w:rPr>
                <w:sz w:val="22"/>
                <w:szCs w:val="22"/>
                <w:lang w:val="fr-FR"/>
              </w:rPr>
              <w:t>comme auteur ;</w:t>
            </w:r>
          </w:p>
        </w:tc>
      </w:tr>
      <w:tr w:rsidR="00E038BA" w:rsidRPr="00E038BA" w:rsidTr="00E038BA">
        <w:tc>
          <w:tcPr>
            <w:tcW w:w="8359" w:type="dxa"/>
          </w:tcPr>
          <w:p w:rsidR="00E038BA" w:rsidRPr="005D37C9" w:rsidRDefault="00E038BA" w:rsidP="00DA775C">
            <w:pPr>
              <w:pStyle w:val="ListParagraph"/>
              <w:numPr>
                <w:ilvl w:val="0"/>
                <w:numId w:val="4"/>
              </w:numPr>
              <w:jc w:val="both"/>
              <w:rPr>
                <w:sz w:val="22"/>
                <w:szCs w:val="22"/>
                <w:lang w:val="fr-FR"/>
              </w:rPr>
            </w:pPr>
            <w:r w:rsidRPr="005D37C9">
              <w:rPr>
                <w:sz w:val="22"/>
                <w:szCs w:val="22"/>
                <w:lang w:val="fr-FR"/>
              </w:rPr>
              <w:t>en étant actif dans des institutions ;</w:t>
            </w:r>
          </w:p>
        </w:tc>
      </w:tr>
      <w:tr w:rsidR="00E038BA" w:rsidRPr="00E038BA" w:rsidTr="00E038BA">
        <w:tc>
          <w:tcPr>
            <w:tcW w:w="8359" w:type="dxa"/>
          </w:tcPr>
          <w:p w:rsidR="00E038BA" w:rsidRPr="005D37C9" w:rsidRDefault="00E038BA" w:rsidP="00DA775C">
            <w:pPr>
              <w:pStyle w:val="ListParagraph"/>
              <w:numPr>
                <w:ilvl w:val="0"/>
                <w:numId w:val="4"/>
              </w:numPr>
              <w:jc w:val="both"/>
              <w:rPr>
                <w:sz w:val="22"/>
                <w:szCs w:val="22"/>
                <w:lang w:val="fr-FR"/>
              </w:rPr>
            </w:pPr>
            <w:r w:rsidRPr="005D37C9">
              <w:rPr>
                <w:sz w:val="22"/>
                <w:szCs w:val="22"/>
                <w:lang w:val="fr-FR"/>
              </w:rPr>
              <w:t>en suivant des cours de longue durée ou spécialisés ;</w:t>
            </w:r>
          </w:p>
        </w:tc>
      </w:tr>
      <w:tr w:rsidR="00E038BA" w:rsidRPr="00E038BA" w:rsidTr="00E038BA">
        <w:tc>
          <w:tcPr>
            <w:tcW w:w="8359" w:type="dxa"/>
          </w:tcPr>
          <w:p w:rsidR="00E038BA" w:rsidRPr="005D37C9" w:rsidRDefault="00E038BA" w:rsidP="00DA775C">
            <w:pPr>
              <w:pStyle w:val="ListParagraph"/>
              <w:numPr>
                <w:ilvl w:val="0"/>
                <w:numId w:val="4"/>
              </w:numPr>
              <w:jc w:val="both"/>
              <w:rPr>
                <w:sz w:val="22"/>
                <w:szCs w:val="22"/>
                <w:lang w:val="fr-FR"/>
              </w:rPr>
            </w:pPr>
            <w:r w:rsidRPr="005D37C9">
              <w:rPr>
                <w:sz w:val="22"/>
                <w:szCs w:val="22"/>
                <w:lang w:val="fr-FR"/>
              </w:rPr>
              <w:t>en suivant des cours à l’étranger.</w:t>
            </w:r>
          </w:p>
        </w:tc>
      </w:tr>
      <w:tr w:rsidR="00E038BA" w:rsidRPr="00E038BA" w:rsidTr="00E038BA">
        <w:tc>
          <w:tcPr>
            <w:tcW w:w="8359" w:type="dxa"/>
          </w:tcPr>
          <w:p w:rsidR="00E038BA" w:rsidRPr="005D37C9" w:rsidRDefault="00E038BA" w:rsidP="00DA775C">
            <w:pPr>
              <w:jc w:val="both"/>
              <w:rPr>
                <w:sz w:val="22"/>
                <w:szCs w:val="22"/>
                <w:u w:val="single"/>
                <w:lang w:val="fr-FR"/>
              </w:rPr>
            </w:pPr>
            <w:r w:rsidRPr="005D37C9">
              <w:rPr>
                <w:sz w:val="22"/>
                <w:szCs w:val="22"/>
                <w:lang w:val="fr-FR"/>
              </w:rPr>
              <w:t>Cette liste n’est pas limitative. L’activité doit présenter une plus-value notariale en termes de contenu et pouvoir être assimilée à une formation permanente.</w:t>
            </w:r>
          </w:p>
        </w:tc>
      </w:tr>
      <w:tr w:rsidR="00E038BA" w:rsidRPr="00E038BA" w:rsidTr="00E038BA">
        <w:tc>
          <w:tcPr>
            <w:tcW w:w="8359" w:type="dxa"/>
          </w:tcPr>
          <w:p w:rsidR="00E038BA" w:rsidRPr="005D37C9" w:rsidRDefault="00E038BA" w:rsidP="00E038BA">
            <w:pPr>
              <w:keepNext/>
              <w:jc w:val="both"/>
              <w:rPr>
                <w:b/>
                <w:bCs/>
                <w:sz w:val="22"/>
                <w:szCs w:val="22"/>
                <w:lang w:val="fr-FR"/>
              </w:rPr>
            </w:pPr>
            <w:r w:rsidRPr="005D37C9">
              <w:rPr>
                <w:b/>
                <w:bCs/>
                <w:sz w:val="22"/>
                <w:szCs w:val="22"/>
                <w:lang w:val="fr-FR"/>
              </w:rPr>
              <w:lastRenderedPageBreak/>
              <w:t>Article 2. Cycle et période de stage</w:t>
            </w:r>
          </w:p>
        </w:tc>
      </w:tr>
      <w:tr w:rsidR="00E038BA" w:rsidRPr="00E038BA" w:rsidTr="00E038BA">
        <w:tc>
          <w:tcPr>
            <w:tcW w:w="8359" w:type="dxa"/>
          </w:tcPr>
          <w:p w:rsidR="00E038BA" w:rsidRPr="005D37C9" w:rsidRDefault="00E038BA" w:rsidP="00DA775C">
            <w:pPr>
              <w:pStyle w:val="BodyText"/>
              <w:rPr>
                <w:sz w:val="22"/>
                <w:szCs w:val="22"/>
              </w:rPr>
            </w:pPr>
            <w:r w:rsidRPr="005D37C9">
              <w:rPr>
                <w:sz w:val="22"/>
                <w:szCs w:val="22"/>
              </w:rPr>
              <w:t>§ 1</w:t>
            </w:r>
            <w:r w:rsidRPr="005D37C9">
              <w:rPr>
                <w:sz w:val="22"/>
                <w:szCs w:val="22"/>
                <w:vertAlign w:val="superscript"/>
              </w:rPr>
              <w:t>er</w:t>
            </w:r>
            <w:r w:rsidRPr="005D37C9">
              <w:rPr>
                <w:sz w:val="22"/>
                <w:szCs w:val="22"/>
              </w:rPr>
              <w:t xml:space="preserve">. Chaque notaire et chaque candidat-notaire doit suivre au moins quarante heures de formations agréées par cycle de deux années civiles. </w:t>
            </w:r>
          </w:p>
        </w:tc>
      </w:tr>
      <w:tr w:rsidR="00E038BA" w:rsidRPr="00E038BA" w:rsidTr="00E038BA">
        <w:tc>
          <w:tcPr>
            <w:tcW w:w="8359" w:type="dxa"/>
          </w:tcPr>
          <w:p w:rsidR="00E038BA" w:rsidRPr="005D37C9" w:rsidRDefault="00E038BA" w:rsidP="00DA775C">
            <w:pPr>
              <w:pStyle w:val="BodyText"/>
              <w:rPr>
                <w:sz w:val="22"/>
                <w:szCs w:val="22"/>
              </w:rPr>
            </w:pPr>
            <w:r w:rsidRPr="005D37C9">
              <w:rPr>
                <w:sz w:val="22"/>
                <w:szCs w:val="22"/>
              </w:rPr>
              <w:t xml:space="preserve">En cas de nomination en cours de cycle, un calcul </w:t>
            </w:r>
            <w:r w:rsidRPr="005D37C9">
              <w:rPr>
                <w:i/>
                <w:sz w:val="22"/>
                <w:szCs w:val="22"/>
              </w:rPr>
              <w:t>pro rata</w:t>
            </w:r>
            <w:r w:rsidRPr="005D37C9">
              <w:rPr>
                <w:sz w:val="22"/>
                <w:szCs w:val="22"/>
              </w:rPr>
              <w:t xml:space="preserve"> sera fait.</w:t>
            </w:r>
          </w:p>
        </w:tc>
      </w:tr>
      <w:tr w:rsidR="00E038BA" w:rsidRPr="00E038BA" w:rsidTr="00E038BA">
        <w:tc>
          <w:tcPr>
            <w:tcW w:w="8359" w:type="dxa"/>
          </w:tcPr>
          <w:p w:rsidR="00E038BA" w:rsidRPr="005D37C9" w:rsidRDefault="00E038BA" w:rsidP="00DA775C">
            <w:pPr>
              <w:jc w:val="both"/>
              <w:rPr>
                <w:sz w:val="22"/>
                <w:szCs w:val="22"/>
                <w:lang w:val="fr-FR"/>
              </w:rPr>
            </w:pPr>
            <w:r w:rsidRPr="005D37C9">
              <w:rPr>
                <w:sz w:val="22"/>
                <w:szCs w:val="22"/>
                <w:lang w:val="fr-FR"/>
              </w:rPr>
              <w:t>Les heures surnuméraires suivies durant un cycle ne peuvent pas être reportées au cycle suivant.</w:t>
            </w:r>
          </w:p>
        </w:tc>
      </w:tr>
      <w:tr w:rsidR="00E038BA" w:rsidRPr="00E038BA" w:rsidTr="00E038BA">
        <w:tc>
          <w:tcPr>
            <w:tcW w:w="8359" w:type="dxa"/>
          </w:tcPr>
          <w:p w:rsidR="00E038BA" w:rsidRPr="005D37C9" w:rsidRDefault="00E038BA" w:rsidP="00DA775C">
            <w:pPr>
              <w:jc w:val="both"/>
              <w:rPr>
                <w:sz w:val="22"/>
                <w:szCs w:val="22"/>
                <w:lang w:val="fr-FR"/>
              </w:rPr>
            </w:pPr>
            <w:r w:rsidRPr="005D37C9">
              <w:rPr>
                <w:sz w:val="22"/>
                <w:szCs w:val="22"/>
                <w:lang w:val="fr-FR"/>
              </w:rPr>
              <w:t>§ 2. Chaque stagiaire doit suivre au moins soixante heures de formations agréées par période de stage de trois ans.</w:t>
            </w:r>
          </w:p>
        </w:tc>
      </w:tr>
      <w:tr w:rsidR="00E038BA" w:rsidRPr="00E038BA" w:rsidTr="00E038BA">
        <w:tc>
          <w:tcPr>
            <w:tcW w:w="8359" w:type="dxa"/>
          </w:tcPr>
          <w:p w:rsidR="00E038BA" w:rsidRPr="005D37C9" w:rsidRDefault="00E038BA" w:rsidP="00DA775C">
            <w:pPr>
              <w:jc w:val="both"/>
              <w:rPr>
                <w:sz w:val="22"/>
                <w:szCs w:val="22"/>
                <w:lang w:val="fr-FR"/>
              </w:rPr>
            </w:pPr>
            <w:r w:rsidRPr="005D37C9">
              <w:rPr>
                <w:sz w:val="22"/>
                <w:szCs w:val="22"/>
                <w:lang w:val="fr-FR"/>
              </w:rPr>
              <w:t xml:space="preserve">Un calcul </w:t>
            </w:r>
            <w:r w:rsidRPr="005D37C9">
              <w:rPr>
                <w:i/>
                <w:sz w:val="22"/>
                <w:szCs w:val="22"/>
                <w:lang w:val="fr-FR"/>
              </w:rPr>
              <w:t>pro rata</w:t>
            </w:r>
            <w:r w:rsidRPr="005D37C9">
              <w:rPr>
                <w:sz w:val="22"/>
                <w:szCs w:val="22"/>
                <w:lang w:val="fr-FR"/>
              </w:rPr>
              <w:t xml:space="preserve"> sera fait, dont est décomptée la période durant laquelle le stagiaire a accompli son stage :</w:t>
            </w:r>
          </w:p>
        </w:tc>
      </w:tr>
      <w:tr w:rsidR="00E038BA" w:rsidRPr="00E038BA" w:rsidTr="00E038BA">
        <w:tc>
          <w:tcPr>
            <w:tcW w:w="8359" w:type="dxa"/>
          </w:tcPr>
          <w:p w:rsidR="00E038BA" w:rsidRPr="005D37C9" w:rsidRDefault="00E038BA" w:rsidP="00DA775C">
            <w:pPr>
              <w:pStyle w:val="ListParagraph"/>
              <w:numPr>
                <w:ilvl w:val="0"/>
                <w:numId w:val="4"/>
              </w:numPr>
              <w:jc w:val="both"/>
              <w:rPr>
                <w:sz w:val="22"/>
                <w:szCs w:val="22"/>
                <w:lang w:val="fr-FR"/>
              </w:rPr>
            </w:pPr>
            <w:r w:rsidRPr="005D37C9">
              <w:rPr>
                <w:sz w:val="22"/>
                <w:szCs w:val="22"/>
                <w:lang w:val="fr-FR"/>
              </w:rPr>
              <w:t>en dehors du notariat belge comme prévu à l’article 36, § 1</w:t>
            </w:r>
            <w:r w:rsidRPr="005D37C9">
              <w:rPr>
                <w:sz w:val="22"/>
                <w:szCs w:val="22"/>
                <w:vertAlign w:val="superscript"/>
                <w:lang w:val="fr-FR"/>
              </w:rPr>
              <w:t>er</w:t>
            </w:r>
            <w:r w:rsidRPr="005D37C9">
              <w:rPr>
                <w:sz w:val="22"/>
                <w:szCs w:val="22"/>
                <w:lang w:val="fr-FR"/>
              </w:rPr>
              <w:t>, alinéa 2,</w:t>
            </w:r>
            <w:r w:rsidRPr="005D37C9">
              <w:rPr>
                <w:sz w:val="22"/>
                <w:szCs w:val="22"/>
                <w:lang w:val="fr-BE"/>
              </w:rPr>
              <w:t xml:space="preserve"> </w:t>
            </w:r>
            <w:r w:rsidRPr="005D37C9">
              <w:rPr>
                <w:sz w:val="22"/>
                <w:szCs w:val="22"/>
                <w:lang w:val="fr-FR"/>
              </w:rPr>
              <w:t>de la loi du 25 ventôse an XI contenant organisation du notariat ;</w:t>
            </w:r>
          </w:p>
        </w:tc>
      </w:tr>
      <w:tr w:rsidR="00E038BA" w:rsidRPr="00E038BA" w:rsidTr="00E038BA">
        <w:tc>
          <w:tcPr>
            <w:tcW w:w="8359" w:type="dxa"/>
          </w:tcPr>
          <w:p w:rsidR="00E038BA" w:rsidRPr="005D37C9" w:rsidRDefault="00E038BA" w:rsidP="00DA775C">
            <w:pPr>
              <w:pStyle w:val="ListParagraph"/>
              <w:numPr>
                <w:ilvl w:val="0"/>
                <w:numId w:val="4"/>
              </w:numPr>
              <w:jc w:val="both"/>
              <w:rPr>
                <w:sz w:val="22"/>
                <w:szCs w:val="22"/>
                <w:lang w:val="fr-FR"/>
              </w:rPr>
            </w:pPr>
            <w:r w:rsidRPr="005D37C9">
              <w:rPr>
                <w:sz w:val="22"/>
                <w:szCs w:val="22"/>
                <w:lang w:val="fr-FR"/>
              </w:rPr>
              <w:t>suite à une dérogation accordée comme prévu à l’article 36, § 2, de la même loi.</w:t>
            </w:r>
          </w:p>
        </w:tc>
      </w:tr>
      <w:tr w:rsidR="00E038BA" w:rsidRPr="00E038BA" w:rsidTr="00E038BA">
        <w:tc>
          <w:tcPr>
            <w:tcW w:w="8359" w:type="dxa"/>
          </w:tcPr>
          <w:p w:rsidR="00E038BA" w:rsidRPr="00E038BA" w:rsidRDefault="00E038BA" w:rsidP="00DA775C">
            <w:pPr>
              <w:jc w:val="both"/>
              <w:rPr>
                <w:sz w:val="22"/>
                <w:szCs w:val="22"/>
                <w:lang w:val="fr-FR"/>
              </w:rPr>
            </w:pPr>
            <w:r w:rsidRPr="005D37C9">
              <w:rPr>
                <w:sz w:val="22"/>
                <w:szCs w:val="22"/>
                <w:lang w:val="fr-FR"/>
              </w:rPr>
              <w:t>§ 3. Chaque notaire, chaque candidat-notaire et chaque stagiaire constitue son programme parmi l’offre de formations agréées.</w:t>
            </w:r>
          </w:p>
        </w:tc>
      </w:tr>
      <w:tr w:rsidR="00E038BA" w:rsidRPr="005D37C9" w:rsidTr="00E038BA">
        <w:tc>
          <w:tcPr>
            <w:tcW w:w="8359" w:type="dxa"/>
          </w:tcPr>
          <w:p w:rsidR="00E038BA" w:rsidRPr="005D37C9" w:rsidRDefault="00E038BA" w:rsidP="00DA775C">
            <w:pPr>
              <w:jc w:val="both"/>
              <w:rPr>
                <w:b/>
                <w:bCs/>
                <w:sz w:val="22"/>
                <w:szCs w:val="22"/>
                <w:lang w:val="fr-FR"/>
              </w:rPr>
            </w:pPr>
            <w:r w:rsidRPr="005D37C9">
              <w:rPr>
                <w:b/>
                <w:bCs/>
                <w:sz w:val="22"/>
                <w:szCs w:val="22"/>
                <w:lang w:val="fr-FR"/>
              </w:rPr>
              <w:t>Ar</w:t>
            </w:r>
            <w:r>
              <w:rPr>
                <w:b/>
                <w:bCs/>
                <w:sz w:val="22"/>
                <w:szCs w:val="22"/>
                <w:lang w:val="fr-FR"/>
              </w:rPr>
              <w:t>ticle 3. Commission d’agréation</w:t>
            </w:r>
          </w:p>
        </w:tc>
      </w:tr>
      <w:tr w:rsidR="00E038BA" w:rsidRPr="005D37C9" w:rsidTr="00E038BA">
        <w:tc>
          <w:tcPr>
            <w:tcW w:w="8359" w:type="dxa"/>
          </w:tcPr>
          <w:p w:rsidR="00E038BA" w:rsidRPr="005D37C9" w:rsidRDefault="00E038BA" w:rsidP="00DA775C">
            <w:pPr>
              <w:jc w:val="both"/>
              <w:rPr>
                <w:sz w:val="22"/>
                <w:szCs w:val="22"/>
                <w:lang w:val="fr-FR"/>
              </w:rPr>
            </w:pPr>
            <w:r w:rsidRPr="005D37C9">
              <w:rPr>
                <w:sz w:val="22"/>
                <w:szCs w:val="22"/>
                <w:lang w:val="fr-FR"/>
              </w:rPr>
              <w:t>Une commission d’agréation est créée par la Chambre nationale des notaires. Elle comprend une section néerlandophone et une section francophone.</w:t>
            </w:r>
          </w:p>
        </w:tc>
      </w:tr>
      <w:tr w:rsidR="00E038BA" w:rsidRPr="00E038BA" w:rsidTr="00E038BA">
        <w:tc>
          <w:tcPr>
            <w:tcW w:w="8359" w:type="dxa"/>
          </w:tcPr>
          <w:p w:rsidR="00E038BA" w:rsidRPr="005D37C9" w:rsidRDefault="00E038BA" w:rsidP="00DA775C">
            <w:pPr>
              <w:jc w:val="both"/>
              <w:rPr>
                <w:sz w:val="22"/>
                <w:szCs w:val="22"/>
                <w:lang w:val="fr-FR"/>
              </w:rPr>
            </w:pPr>
            <w:r w:rsidRPr="005D37C9">
              <w:rPr>
                <w:sz w:val="22"/>
                <w:szCs w:val="22"/>
                <w:lang w:val="fr-FR"/>
              </w:rPr>
              <w:t>La commission d’agréation est composée de huit membres désignés par le comité de direction de la Chambre nationale des notaires : six sont choisis parmi les membres, effectifs ou suppléants, de l’assemblée générale, et</w:t>
            </w:r>
            <w:r w:rsidRPr="005D37C9">
              <w:rPr>
                <w:color w:val="FF0000"/>
                <w:sz w:val="22"/>
                <w:szCs w:val="22"/>
                <w:lang w:val="fr-FR"/>
              </w:rPr>
              <w:t xml:space="preserve"> </w:t>
            </w:r>
            <w:r w:rsidRPr="005D37C9">
              <w:rPr>
                <w:sz w:val="22"/>
                <w:szCs w:val="22"/>
                <w:lang w:val="fr-FR"/>
              </w:rPr>
              <w:t>deux parmi les membres du comité de direction, en tenant compte de la parité linguistique.  Chaque section est présidée par le membre du comité de direction.</w:t>
            </w:r>
          </w:p>
        </w:tc>
      </w:tr>
      <w:tr w:rsidR="00E038BA" w:rsidRPr="00E038BA" w:rsidTr="00E038BA">
        <w:tc>
          <w:tcPr>
            <w:tcW w:w="8359" w:type="dxa"/>
          </w:tcPr>
          <w:p w:rsidR="00E038BA" w:rsidRPr="005D37C9" w:rsidRDefault="00E038BA" w:rsidP="005D37C9">
            <w:pPr>
              <w:pStyle w:val="BodyText"/>
              <w:rPr>
                <w:sz w:val="22"/>
                <w:szCs w:val="22"/>
              </w:rPr>
            </w:pPr>
            <w:r w:rsidRPr="005D37C9">
              <w:rPr>
                <w:sz w:val="22"/>
                <w:szCs w:val="22"/>
              </w:rPr>
              <w:t>La commission d’agréation peut se faire assister d’experts et peut inviter des observateurs.</w:t>
            </w:r>
          </w:p>
        </w:tc>
      </w:tr>
      <w:tr w:rsidR="00E038BA" w:rsidRPr="00E038BA" w:rsidTr="00E038BA">
        <w:tc>
          <w:tcPr>
            <w:tcW w:w="8359" w:type="dxa"/>
          </w:tcPr>
          <w:p w:rsidR="00E038BA" w:rsidRPr="005D37C9" w:rsidRDefault="00E038BA" w:rsidP="00DA775C">
            <w:pPr>
              <w:jc w:val="both"/>
              <w:rPr>
                <w:b/>
                <w:bCs/>
                <w:sz w:val="22"/>
                <w:szCs w:val="22"/>
                <w:lang w:val="fr-FR"/>
              </w:rPr>
            </w:pPr>
            <w:r w:rsidRPr="005D37C9">
              <w:rPr>
                <w:b/>
                <w:bCs/>
                <w:sz w:val="22"/>
                <w:szCs w:val="22"/>
                <w:lang w:val="fr-FR"/>
              </w:rPr>
              <w:t xml:space="preserve">Article 4. Compétence des sections </w:t>
            </w:r>
            <w:r>
              <w:rPr>
                <w:b/>
                <w:bCs/>
                <w:sz w:val="22"/>
                <w:szCs w:val="22"/>
                <w:lang w:val="fr-FR"/>
              </w:rPr>
              <w:t>et de la commission d’agréation</w:t>
            </w:r>
          </w:p>
        </w:tc>
      </w:tr>
      <w:tr w:rsidR="00E038BA" w:rsidRPr="00E038BA" w:rsidTr="00E038BA">
        <w:tc>
          <w:tcPr>
            <w:tcW w:w="8359" w:type="dxa"/>
          </w:tcPr>
          <w:p w:rsidR="00E038BA" w:rsidRPr="005D37C9" w:rsidRDefault="00E038BA" w:rsidP="00DA775C">
            <w:pPr>
              <w:pStyle w:val="BodyText"/>
              <w:rPr>
                <w:sz w:val="22"/>
                <w:szCs w:val="22"/>
              </w:rPr>
            </w:pPr>
            <w:r w:rsidRPr="005D37C9">
              <w:rPr>
                <w:sz w:val="22"/>
                <w:szCs w:val="22"/>
              </w:rPr>
              <w:t>Les sections décident pour leur domaine linguistique quelles formations sont agréées et arrêtent pour chacune d’elles le nombre d’heures prises en considération.</w:t>
            </w:r>
          </w:p>
        </w:tc>
      </w:tr>
      <w:tr w:rsidR="00E038BA" w:rsidRPr="00E038BA" w:rsidTr="00E038BA">
        <w:tc>
          <w:tcPr>
            <w:tcW w:w="8359" w:type="dxa"/>
          </w:tcPr>
          <w:p w:rsidR="00E038BA" w:rsidRPr="005D37C9" w:rsidRDefault="00E038BA" w:rsidP="00DA775C">
            <w:pPr>
              <w:jc w:val="both"/>
              <w:rPr>
                <w:bCs/>
                <w:sz w:val="22"/>
                <w:szCs w:val="22"/>
                <w:lang w:val="fr-FR"/>
              </w:rPr>
            </w:pPr>
            <w:r w:rsidRPr="005D37C9">
              <w:rPr>
                <w:sz w:val="22"/>
                <w:szCs w:val="22"/>
                <w:lang w:val="fr-FR"/>
              </w:rPr>
              <w:t xml:space="preserve">Si la formation est donnée en néerlandais et en français, les deux sections se prononceront ensemble sur </w:t>
            </w:r>
            <w:r w:rsidRPr="005D37C9">
              <w:rPr>
                <w:bCs/>
                <w:sz w:val="22"/>
                <w:szCs w:val="22"/>
                <w:lang w:val="fr-FR"/>
              </w:rPr>
              <w:t>l’agréation.</w:t>
            </w:r>
          </w:p>
        </w:tc>
      </w:tr>
      <w:tr w:rsidR="00E038BA" w:rsidRPr="00E038BA" w:rsidTr="00E038BA">
        <w:tc>
          <w:tcPr>
            <w:tcW w:w="8359" w:type="dxa"/>
          </w:tcPr>
          <w:p w:rsidR="00E038BA" w:rsidRPr="005D37C9" w:rsidRDefault="00E038BA" w:rsidP="00DA775C">
            <w:pPr>
              <w:jc w:val="both"/>
              <w:rPr>
                <w:sz w:val="22"/>
                <w:szCs w:val="22"/>
                <w:lang w:val="fr-FR"/>
              </w:rPr>
            </w:pPr>
            <w:r w:rsidRPr="005D37C9">
              <w:rPr>
                <w:sz w:val="22"/>
                <w:szCs w:val="22"/>
                <w:lang w:val="fr-FR"/>
              </w:rPr>
              <w:t xml:space="preserve">Si la formation est donnée en allemand ou une autre langue qu’une langue nationale, la section de la langue dans laquelle la demande est faite, se prononcera sur </w:t>
            </w:r>
            <w:r w:rsidRPr="005D37C9">
              <w:rPr>
                <w:bCs/>
                <w:sz w:val="22"/>
                <w:szCs w:val="22"/>
                <w:lang w:val="fr-FR"/>
              </w:rPr>
              <w:t>l’agréation</w:t>
            </w:r>
            <w:r w:rsidRPr="005D37C9">
              <w:rPr>
                <w:sz w:val="22"/>
                <w:szCs w:val="22"/>
                <w:lang w:val="fr-FR"/>
              </w:rPr>
              <w:t>. Si la demande n’est pas faite en néerlandais ou en français, la demande sera renvoyée à une des sections, éventuellement accompagnée par une traduction faite par le demandeur.</w:t>
            </w:r>
          </w:p>
        </w:tc>
      </w:tr>
      <w:tr w:rsidR="00E038BA" w:rsidRPr="00E038BA" w:rsidTr="00E038BA">
        <w:tc>
          <w:tcPr>
            <w:tcW w:w="8359" w:type="dxa"/>
          </w:tcPr>
          <w:p w:rsidR="00E038BA" w:rsidRPr="005D37C9" w:rsidRDefault="00E038BA" w:rsidP="005D37C9">
            <w:pPr>
              <w:pStyle w:val="BodyText"/>
              <w:rPr>
                <w:sz w:val="22"/>
                <w:szCs w:val="22"/>
              </w:rPr>
            </w:pPr>
            <w:r w:rsidRPr="005D37C9">
              <w:rPr>
                <w:sz w:val="22"/>
                <w:szCs w:val="22"/>
              </w:rPr>
              <w:t>Les décisions des sections sont prises dans le mois qui suit la demande, avec une majorité de trois voix.</w:t>
            </w:r>
          </w:p>
        </w:tc>
      </w:tr>
      <w:tr w:rsidR="00E038BA" w:rsidRPr="00E038BA" w:rsidTr="00E038BA">
        <w:tc>
          <w:tcPr>
            <w:tcW w:w="8359" w:type="dxa"/>
          </w:tcPr>
          <w:p w:rsidR="00E038BA" w:rsidRPr="005D37C9" w:rsidRDefault="00E038BA" w:rsidP="00DA775C">
            <w:pPr>
              <w:jc w:val="both"/>
              <w:rPr>
                <w:sz w:val="22"/>
                <w:szCs w:val="22"/>
                <w:lang w:val="fr-FR"/>
              </w:rPr>
            </w:pPr>
            <w:r w:rsidRPr="005D37C9">
              <w:rPr>
                <w:sz w:val="22"/>
                <w:szCs w:val="22"/>
                <w:lang w:val="fr-FR"/>
              </w:rPr>
              <w:t>La commission d’agréation peut elle-même, sur proposition de la section, délivrer des attestations aux notaires, candidats-notaires et stagiaires qui demandent individuellement l’agréation d’une activité (cours, conférences, publications, congrès, etc.).</w:t>
            </w:r>
          </w:p>
        </w:tc>
      </w:tr>
      <w:tr w:rsidR="00E038BA" w:rsidRPr="00E038BA" w:rsidTr="00E038BA">
        <w:tc>
          <w:tcPr>
            <w:tcW w:w="8359" w:type="dxa"/>
          </w:tcPr>
          <w:p w:rsidR="00E038BA" w:rsidRPr="00E038BA" w:rsidRDefault="00E038BA" w:rsidP="00DA775C">
            <w:pPr>
              <w:jc w:val="both"/>
              <w:rPr>
                <w:i/>
                <w:sz w:val="22"/>
                <w:szCs w:val="22"/>
                <w:lang w:val="fr-FR"/>
              </w:rPr>
            </w:pPr>
            <w:r w:rsidRPr="005D37C9">
              <w:rPr>
                <w:sz w:val="22"/>
                <w:szCs w:val="22"/>
                <w:lang w:val="fr-FR"/>
              </w:rPr>
              <w:lastRenderedPageBreak/>
              <w:t>Les décisions de la commission d’agréation sont transmises chaque mois pour information au comité de direction de la Chambre nationale des notaires. A la demande d’un des membres ou en cas de parité des voix, la décision doit être soumise à l’approbation du comité de direction de la Chambre nationale des notaires.</w:t>
            </w:r>
          </w:p>
        </w:tc>
      </w:tr>
      <w:tr w:rsidR="00E038BA" w:rsidRPr="00E038BA" w:rsidTr="00E038BA">
        <w:tc>
          <w:tcPr>
            <w:tcW w:w="8359" w:type="dxa"/>
          </w:tcPr>
          <w:p w:rsidR="00E038BA" w:rsidRPr="005D37C9" w:rsidRDefault="00E038BA" w:rsidP="00DA775C">
            <w:pPr>
              <w:jc w:val="both"/>
              <w:rPr>
                <w:sz w:val="22"/>
                <w:szCs w:val="22"/>
                <w:lang w:val="fr-FR"/>
              </w:rPr>
            </w:pPr>
            <w:r w:rsidRPr="005D37C9">
              <w:rPr>
                <w:sz w:val="22"/>
                <w:szCs w:val="22"/>
                <w:lang w:val="fr-FR"/>
              </w:rPr>
              <w:t>La commission d’agréation est compétente pour établir un règlement d’ordre intérieur.</w:t>
            </w:r>
          </w:p>
        </w:tc>
      </w:tr>
      <w:tr w:rsidR="00E038BA" w:rsidRPr="005D37C9" w:rsidTr="00E038BA">
        <w:tc>
          <w:tcPr>
            <w:tcW w:w="8359" w:type="dxa"/>
          </w:tcPr>
          <w:p w:rsidR="00E038BA" w:rsidRPr="005D37C9" w:rsidRDefault="00E038BA" w:rsidP="00DA775C">
            <w:pPr>
              <w:jc w:val="both"/>
              <w:rPr>
                <w:b/>
                <w:bCs/>
                <w:sz w:val="22"/>
                <w:szCs w:val="22"/>
                <w:lang w:val="fr-FR"/>
              </w:rPr>
            </w:pPr>
            <w:r w:rsidRPr="005D37C9">
              <w:rPr>
                <w:b/>
                <w:bCs/>
                <w:sz w:val="22"/>
                <w:szCs w:val="22"/>
                <w:lang w:val="fr-FR"/>
              </w:rPr>
              <w:t>Article 5. Demande d’agréation</w:t>
            </w:r>
          </w:p>
        </w:tc>
      </w:tr>
      <w:tr w:rsidR="00E038BA" w:rsidRPr="00E038BA" w:rsidTr="00E038BA">
        <w:tc>
          <w:tcPr>
            <w:tcW w:w="8359" w:type="dxa"/>
          </w:tcPr>
          <w:p w:rsidR="00E038BA" w:rsidRPr="00E038BA" w:rsidRDefault="00E038BA" w:rsidP="00DA775C">
            <w:pPr>
              <w:jc w:val="both"/>
              <w:rPr>
                <w:sz w:val="22"/>
                <w:szCs w:val="22"/>
                <w:lang w:val="fr-FR"/>
              </w:rPr>
            </w:pPr>
            <w:r w:rsidRPr="005D37C9">
              <w:rPr>
                <w:sz w:val="22"/>
                <w:szCs w:val="22"/>
                <w:lang w:val="fr-FR"/>
              </w:rPr>
              <w:t>Les fournisseurs de formations, les notaires, les candidats-notaire</w:t>
            </w:r>
            <w:r w:rsidR="00D35FE1">
              <w:rPr>
                <w:sz w:val="22"/>
                <w:szCs w:val="22"/>
                <w:lang w:val="fr-FR"/>
              </w:rPr>
              <w:t>s</w:t>
            </w:r>
            <w:r w:rsidRPr="005D37C9">
              <w:rPr>
                <w:sz w:val="22"/>
                <w:szCs w:val="22"/>
                <w:lang w:val="fr-FR"/>
              </w:rPr>
              <w:t xml:space="preserve"> ou les stagiaires peuvent adresser une demande d’agréation à la commission d’agréation.</w:t>
            </w:r>
          </w:p>
        </w:tc>
      </w:tr>
      <w:tr w:rsidR="00E038BA" w:rsidRPr="005D37C9" w:rsidTr="00E038BA">
        <w:tc>
          <w:tcPr>
            <w:tcW w:w="8359" w:type="dxa"/>
          </w:tcPr>
          <w:p w:rsidR="00E038BA" w:rsidRPr="005D37C9" w:rsidRDefault="00E038BA" w:rsidP="00DA775C">
            <w:pPr>
              <w:jc w:val="both"/>
              <w:rPr>
                <w:b/>
                <w:bCs/>
                <w:sz w:val="22"/>
                <w:szCs w:val="22"/>
                <w:lang w:val="fr-FR"/>
              </w:rPr>
            </w:pPr>
            <w:r w:rsidRPr="005D37C9">
              <w:rPr>
                <w:b/>
                <w:bCs/>
                <w:sz w:val="22"/>
                <w:szCs w:val="22"/>
                <w:lang w:val="fr-FR"/>
              </w:rPr>
              <w:t>Article 6. Modalités</w:t>
            </w:r>
          </w:p>
        </w:tc>
      </w:tr>
      <w:tr w:rsidR="00E038BA" w:rsidRPr="00E038BA" w:rsidTr="00E038BA">
        <w:tc>
          <w:tcPr>
            <w:tcW w:w="8359" w:type="dxa"/>
          </w:tcPr>
          <w:p w:rsidR="00E038BA" w:rsidRPr="005D37C9" w:rsidRDefault="00E038BA" w:rsidP="00DA775C">
            <w:pPr>
              <w:jc w:val="both"/>
              <w:rPr>
                <w:sz w:val="22"/>
                <w:szCs w:val="22"/>
                <w:lang w:val="fr-FR"/>
              </w:rPr>
            </w:pPr>
            <w:r w:rsidRPr="005D37C9">
              <w:rPr>
                <w:sz w:val="22"/>
                <w:szCs w:val="22"/>
                <w:lang w:val="fr-FR"/>
              </w:rPr>
              <w:t>Au moment de solliciter l’agréation d’une formation, le demandeur introduit un dossier dans lequel il s’engage à délivrer des attestations de présence et à procurer une information sur le nombre des personnes présentes, après avoir contrôlé ces présences, ainsi qu’un formulaire d’évaluation.</w:t>
            </w:r>
          </w:p>
        </w:tc>
      </w:tr>
      <w:tr w:rsidR="00E038BA" w:rsidRPr="00E038BA" w:rsidTr="00E038BA">
        <w:tc>
          <w:tcPr>
            <w:tcW w:w="8359" w:type="dxa"/>
          </w:tcPr>
          <w:p w:rsidR="00E038BA" w:rsidRPr="005D37C9" w:rsidRDefault="00E038BA" w:rsidP="00DA775C">
            <w:pPr>
              <w:jc w:val="both"/>
              <w:rPr>
                <w:sz w:val="22"/>
                <w:szCs w:val="22"/>
                <w:lang w:val="fr-FR"/>
              </w:rPr>
            </w:pPr>
            <w:r w:rsidRPr="005D37C9">
              <w:rPr>
                <w:sz w:val="22"/>
                <w:szCs w:val="22"/>
                <w:lang w:val="fr-FR"/>
              </w:rPr>
              <w:t>La demande doit être faite selon le modèle établi par la Chambre nationale des notaires, et doit contenir au moins les données suivantes :</w:t>
            </w:r>
          </w:p>
        </w:tc>
      </w:tr>
      <w:tr w:rsidR="00E038BA" w:rsidRPr="00E038BA" w:rsidTr="00E038BA">
        <w:tc>
          <w:tcPr>
            <w:tcW w:w="8359" w:type="dxa"/>
          </w:tcPr>
          <w:p w:rsidR="00E038BA" w:rsidRPr="005D37C9" w:rsidRDefault="00E038BA" w:rsidP="00DA775C">
            <w:pPr>
              <w:pStyle w:val="ListParagraph"/>
              <w:numPr>
                <w:ilvl w:val="0"/>
                <w:numId w:val="10"/>
              </w:numPr>
              <w:jc w:val="both"/>
              <w:rPr>
                <w:sz w:val="22"/>
                <w:szCs w:val="22"/>
                <w:lang w:val="fr-FR"/>
              </w:rPr>
            </w:pPr>
            <w:r w:rsidRPr="005D37C9">
              <w:rPr>
                <w:sz w:val="22"/>
                <w:szCs w:val="22"/>
                <w:lang w:val="fr-FR"/>
              </w:rPr>
              <w:t>date et lieu de la formation ;</w:t>
            </w:r>
          </w:p>
        </w:tc>
      </w:tr>
      <w:tr w:rsidR="00E038BA" w:rsidRPr="00E038BA" w:rsidTr="00E038BA">
        <w:tc>
          <w:tcPr>
            <w:tcW w:w="8359" w:type="dxa"/>
          </w:tcPr>
          <w:p w:rsidR="00E038BA" w:rsidRPr="005D37C9" w:rsidRDefault="00E038BA" w:rsidP="00F80002">
            <w:pPr>
              <w:pStyle w:val="ListParagraph"/>
              <w:numPr>
                <w:ilvl w:val="0"/>
                <w:numId w:val="11"/>
              </w:numPr>
              <w:jc w:val="both"/>
              <w:rPr>
                <w:sz w:val="22"/>
                <w:szCs w:val="22"/>
                <w:lang w:val="fr-BE"/>
              </w:rPr>
            </w:pPr>
            <w:r w:rsidRPr="005D37C9">
              <w:rPr>
                <w:sz w:val="22"/>
                <w:szCs w:val="22"/>
                <w:lang w:val="fr-FR"/>
              </w:rPr>
              <w:t>sujet de la formation, le cas échéant avec les titres des différentes conférences ;</w:t>
            </w:r>
          </w:p>
        </w:tc>
      </w:tr>
      <w:tr w:rsidR="00E038BA" w:rsidRPr="00E038BA" w:rsidTr="00E038BA">
        <w:tc>
          <w:tcPr>
            <w:tcW w:w="8359" w:type="dxa"/>
          </w:tcPr>
          <w:p w:rsidR="00E038BA" w:rsidRPr="005D37C9" w:rsidRDefault="00E038BA" w:rsidP="00F80002">
            <w:pPr>
              <w:pStyle w:val="ListParagraph"/>
              <w:numPr>
                <w:ilvl w:val="0"/>
                <w:numId w:val="19"/>
              </w:numPr>
              <w:jc w:val="both"/>
              <w:rPr>
                <w:sz w:val="22"/>
                <w:szCs w:val="22"/>
                <w:lang w:val="fr-BE"/>
              </w:rPr>
            </w:pPr>
            <w:r w:rsidRPr="005D37C9">
              <w:rPr>
                <w:sz w:val="22"/>
                <w:szCs w:val="22"/>
                <w:lang w:val="fr-FR"/>
              </w:rPr>
              <w:t>nombre d’heures pour lesquelles l’agréation est demandée ;</w:t>
            </w:r>
          </w:p>
        </w:tc>
      </w:tr>
      <w:tr w:rsidR="00E038BA" w:rsidRPr="005D37C9" w:rsidTr="00E038BA">
        <w:tc>
          <w:tcPr>
            <w:tcW w:w="8359" w:type="dxa"/>
          </w:tcPr>
          <w:p w:rsidR="00E038BA" w:rsidRPr="005D37C9" w:rsidRDefault="00E038BA" w:rsidP="00F80002">
            <w:pPr>
              <w:pStyle w:val="ListParagraph"/>
              <w:numPr>
                <w:ilvl w:val="0"/>
                <w:numId w:val="20"/>
              </w:numPr>
              <w:jc w:val="both"/>
              <w:rPr>
                <w:sz w:val="22"/>
                <w:szCs w:val="22"/>
                <w:lang w:val="nl-BE"/>
              </w:rPr>
            </w:pPr>
            <w:r w:rsidRPr="005D37C9">
              <w:rPr>
                <w:sz w:val="22"/>
                <w:szCs w:val="22"/>
                <w:lang w:val="fr-FR"/>
              </w:rPr>
              <w:t>identité du conférencier ;</w:t>
            </w:r>
          </w:p>
        </w:tc>
      </w:tr>
      <w:tr w:rsidR="00E038BA" w:rsidRPr="005D37C9" w:rsidTr="00E038BA">
        <w:tc>
          <w:tcPr>
            <w:tcW w:w="8359" w:type="dxa"/>
          </w:tcPr>
          <w:p w:rsidR="00E038BA" w:rsidRPr="005D37C9" w:rsidRDefault="00E038BA" w:rsidP="00F80002">
            <w:pPr>
              <w:pStyle w:val="ListParagraph"/>
              <w:numPr>
                <w:ilvl w:val="0"/>
                <w:numId w:val="21"/>
              </w:numPr>
              <w:jc w:val="both"/>
              <w:rPr>
                <w:sz w:val="22"/>
                <w:szCs w:val="22"/>
                <w:lang w:val="nl-BE"/>
              </w:rPr>
            </w:pPr>
            <w:r w:rsidRPr="005D37C9">
              <w:rPr>
                <w:sz w:val="22"/>
                <w:szCs w:val="22"/>
                <w:lang w:val="nl-BE"/>
              </w:rPr>
              <w:t>groupe-cible ;</w:t>
            </w:r>
          </w:p>
        </w:tc>
      </w:tr>
      <w:tr w:rsidR="00E038BA" w:rsidRPr="005D37C9" w:rsidTr="00E038BA">
        <w:tc>
          <w:tcPr>
            <w:tcW w:w="8359" w:type="dxa"/>
          </w:tcPr>
          <w:p w:rsidR="00E038BA" w:rsidRPr="005D37C9" w:rsidRDefault="00E038BA" w:rsidP="00F80002">
            <w:pPr>
              <w:pStyle w:val="ListParagraph"/>
              <w:numPr>
                <w:ilvl w:val="0"/>
                <w:numId w:val="22"/>
              </w:numPr>
              <w:jc w:val="both"/>
              <w:rPr>
                <w:sz w:val="22"/>
                <w:szCs w:val="22"/>
                <w:lang w:val="nl-BE"/>
              </w:rPr>
            </w:pPr>
            <w:r w:rsidRPr="005D37C9">
              <w:rPr>
                <w:sz w:val="22"/>
                <w:szCs w:val="22"/>
                <w:lang w:val="nl-BE"/>
              </w:rPr>
              <w:t>frais de participation ;</w:t>
            </w:r>
          </w:p>
        </w:tc>
      </w:tr>
      <w:tr w:rsidR="00E038BA" w:rsidRPr="00E038BA" w:rsidTr="00E038BA">
        <w:tc>
          <w:tcPr>
            <w:tcW w:w="8359" w:type="dxa"/>
          </w:tcPr>
          <w:p w:rsidR="00E038BA" w:rsidRPr="005D37C9" w:rsidRDefault="00E038BA" w:rsidP="00F80002">
            <w:pPr>
              <w:pStyle w:val="ListParagraph"/>
              <w:numPr>
                <w:ilvl w:val="0"/>
                <w:numId w:val="23"/>
              </w:numPr>
              <w:jc w:val="both"/>
              <w:rPr>
                <w:sz w:val="22"/>
                <w:szCs w:val="22"/>
                <w:lang w:val="fr-BE"/>
              </w:rPr>
            </w:pPr>
            <w:r w:rsidRPr="005D37C9">
              <w:rPr>
                <w:sz w:val="22"/>
                <w:szCs w:val="22"/>
                <w:lang w:val="fr-FR"/>
              </w:rPr>
              <w:t>mention de l’existence d’un syllabus et date de sa remise aux participants ;</w:t>
            </w:r>
          </w:p>
        </w:tc>
      </w:tr>
      <w:tr w:rsidR="00E038BA" w:rsidRPr="00E038BA" w:rsidTr="00E038BA">
        <w:tc>
          <w:tcPr>
            <w:tcW w:w="8359" w:type="dxa"/>
          </w:tcPr>
          <w:p w:rsidR="00E038BA" w:rsidRPr="005D37C9" w:rsidRDefault="00E038BA" w:rsidP="00F80002">
            <w:pPr>
              <w:pStyle w:val="ListParagraph"/>
              <w:numPr>
                <w:ilvl w:val="0"/>
                <w:numId w:val="24"/>
              </w:numPr>
              <w:jc w:val="both"/>
              <w:rPr>
                <w:sz w:val="22"/>
                <w:szCs w:val="22"/>
                <w:lang w:val="fr-BE"/>
              </w:rPr>
            </w:pPr>
            <w:r w:rsidRPr="005D37C9">
              <w:rPr>
                <w:sz w:val="22"/>
                <w:szCs w:val="22"/>
                <w:lang w:val="fr-FR"/>
              </w:rPr>
              <w:t>mode de publicité relative à l’offre de formation ;</w:t>
            </w:r>
          </w:p>
        </w:tc>
      </w:tr>
      <w:tr w:rsidR="00E038BA" w:rsidRPr="00E038BA" w:rsidTr="00E038BA">
        <w:tc>
          <w:tcPr>
            <w:tcW w:w="8359" w:type="dxa"/>
          </w:tcPr>
          <w:p w:rsidR="00E038BA" w:rsidRPr="005D37C9" w:rsidRDefault="00E038BA" w:rsidP="00F80002">
            <w:pPr>
              <w:pStyle w:val="ListParagraph"/>
              <w:numPr>
                <w:ilvl w:val="0"/>
                <w:numId w:val="25"/>
              </w:numPr>
              <w:jc w:val="both"/>
              <w:rPr>
                <w:sz w:val="22"/>
                <w:szCs w:val="22"/>
                <w:lang w:val="fr-BE"/>
              </w:rPr>
            </w:pPr>
            <w:r w:rsidRPr="005D37C9">
              <w:rPr>
                <w:sz w:val="22"/>
                <w:szCs w:val="22"/>
                <w:lang w:val="fr-FR"/>
              </w:rPr>
              <w:t>les branches juridiques auxquelles la formation se rapporte ;</w:t>
            </w:r>
          </w:p>
        </w:tc>
      </w:tr>
      <w:tr w:rsidR="00E038BA" w:rsidRPr="00E038BA" w:rsidTr="00E038BA">
        <w:tc>
          <w:tcPr>
            <w:tcW w:w="8359" w:type="dxa"/>
          </w:tcPr>
          <w:p w:rsidR="00E038BA" w:rsidRPr="005D37C9" w:rsidRDefault="00E038BA" w:rsidP="00F80002">
            <w:pPr>
              <w:pStyle w:val="ListParagraph"/>
              <w:numPr>
                <w:ilvl w:val="0"/>
                <w:numId w:val="26"/>
              </w:numPr>
              <w:jc w:val="both"/>
              <w:rPr>
                <w:sz w:val="22"/>
                <w:szCs w:val="22"/>
                <w:lang w:val="fr-BE"/>
              </w:rPr>
            </w:pPr>
            <w:r w:rsidRPr="005D37C9">
              <w:rPr>
                <w:sz w:val="22"/>
                <w:szCs w:val="22"/>
                <w:lang w:val="fr-FR"/>
              </w:rPr>
              <w:t>la langue dans laquelle la formation est donnée.</w:t>
            </w:r>
          </w:p>
        </w:tc>
      </w:tr>
      <w:tr w:rsidR="00E038BA" w:rsidRPr="00E038BA" w:rsidTr="00E038BA">
        <w:tc>
          <w:tcPr>
            <w:tcW w:w="8359" w:type="dxa"/>
          </w:tcPr>
          <w:p w:rsidR="00E038BA" w:rsidRPr="005D37C9" w:rsidRDefault="00E038BA" w:rsidP="00F80002">
            <w:pPr>
              <w:jc w:val="both"/>
              <w:rPr>
                <w:sz w:val="22"/>
                <w:szCs w:val="22"/>
                <w:lang w:val="fr-FR"/>
              </w:rPr>
            </w:pPr>
            <w:r w:rsidRPr="005D37C9">
              <w:rPr>
                <w:sz w:val="22"/>
                <w:szCs w:val="22"/>
                <w:lang w:val="fr-FR"/>
              </w:rPr>
              <w:t>Toute décision de ne pas donner une suite favorable à une demande d’agréation est motivée.</w:t>
            </w:r>
          </w:p>
        </w:tc>
      </w:tr>
      <w:tr w:rsidR="00E038BA" w:rsidRPr="00E038BA" w:rsidTr="00E038BA">
        <w:tc>
          <w:tcPr>
            <w:tcW w:w="8359" w:type="dxa"/>
          </w:tcPr>
          <w:p w:rsidR="00E038BA" w:rsidRPr="005D37C9" w:rsidRDefault="00E038BA" w:rsidP="00F80002">
            <w:pPr>
              <w:jc w:val="both"/>
              <w:rPr>
                <w:sz w:val="22"/>
                <w:szCs w:val="22"/>
                <w:lang w:val="fr-FR"/>
              </w:rPr>
            </w:pPr>
            <w:r w:rsidRPr="005D37C9">
              <w:rPr>
                <w:sz w:val="22"/>
                <w:szCs w:val="22"/>
                <w:lang w:val="fr-FR"/>
              </w:rPr>
              <w:t>Le fournisseur de la formation peut faire mention de l’agréation.</w:t>
            </w:r>
          </w:p>
        </w:tc>
      </w:tr>
      <w:tr w:rsidR="00E038BA" w:rsidRPr="00E038BA" w:rsidTr="00E038BA">
        <w:tc>
          <w:tcPr>
            <w:tcW w:w="8359" w:type="dxa"/>
          </w:tcPr>
          <w:p w:rsidR="00E038BA" w:rsidRPr="005D37C9" w:rsidRDefault="00E038BA" w:rsidP="00F80002">
            <w:pPr>
              <w:jc w:val="both"/>
              <w:rPr>
                <w:sz w:val="22"/>
                <w:szCs w:val="22"/>
                <w:lang w:val="fr-FR"/>
              </w:rPr>
            </w:pPr>
            <w:r w:rsidRPr="005D37C9">
              <w:rPr>
                <w:sz w:val="22"/>
                <w:szCs w:val="22"/>
                <w:lang w:val="fr-FR"/>
              </w:rPr>
              <w:t>L’offre de formation agréée est publiée sur l’e-notariat.</w:t>
            </w:r>
          </w:p>
        </w:tc>
      </w:tr>
      <w:tr w:rsidR="00E038BA" w:rsidRPr="00E038BA" w:rsidTr="00E038BA">
        <w:tc>
          <w:tcPr>
            <w:tcW w:w="8359" w:type="dxa"/>
          </w:tcPr>
          <w:p w:rsidR="00E038BA" w:rsidRPr="005D37C9" w:rsidRDefault="00E038BA" w:rsidP="00F80002">
            <w:pPr>
              <w:jc w:val="both"/>
              <w:rPr>
                <w:sz w:val="22"/>
                <w:szCs w:val="22"/>
                <w:lang w:val="fr-FR"/>
              </w:rPr>
            </w:pPr>
            <w:r w:rsidRPr="005D37C9">
              <w:rPr>
                <w:sz w:val="22"/>
                <w:szCs w:val="22"/>
                <w:lang w:val="fr-FR"/>
              </w:rPr>
              <w:t>Pour des formations identiques à des formations déjà agréées, il suffit d’envoyer une copie de l’agréation obtenue antérieurement, pour autant que la formation identique ait lieu dans le même cycle ou la même période de stage.</w:t>
            </w:r>
          </w:p>
        </w:tc>
      </w:tr>
      <w:tr w:rsidR="00E038BA" w:rsidRPr="00E038BA" w:rsidTr="00E038BA">
        <w:tc>
          <w:tcPr>
            <w:tcW w:w="8359" w:type="dxa"/>
          </w:tcPr>
          <w:p w:rsidR="00E038BA" w:rsidRPr="005D37C9" w:rsidRDefault="00E038BA" w:rsidP="00F80002">
            <w:pPr>
              <w:jc w:val="both"/>
              <w:rPr>
                <w:sz w:val="22"/>
                <w:szCs w:val="22"/>
                <w:lang w:val="fr-FR"/>
              </w:rPr>
            </w:pPr>
            <w:r w:rsidRPr="005D37C9">
              <w:rPr>
                <w:sz w:val="22"/>
                <w:szCs w:val="22"/>
                <w:lang w:val="fr-FR"/>
              </w:rPr>
              <w:t>L’agréation d’une formation récurrente n’est valable que pour un cycle ou une période de stage.</w:t>
            </w:r>
          </w:p>
        </w:tc>
      </w:tr>
      <w:tr w:rsidR="00E038BA" w:rsidRPr="00E038BA" w:rsidTr="00E038BA">
        <w:tc>
          <w:tcPr>
            <w:tcW w:w="8359" w:type="dxa"/>
          </w:tcPr>
          <w:p w:rsidR="00E038BA" w:rsidRPr="005D37C9" w:rsidRDefault="00E038BA" w:rsidP="00F80002">
            <w:pPr>
              <w:jc w:val="both"/>
              <w:rPr>
                <w:sz w:val="22"/>
                <w:szCs w:val="22"/>
                <w:lang w:val="fr-FR"/>
              </w:rPr>
            </w:pPr>
            <w:r w:rsidRPr="005D37C9">
              <w:rPr>
                <w:sz w:val="22"/>
                <w:szCs w:val="22"/>
                <w:lang w:val="fr-FR"/>
              </w:rPr>
              <w:t>Une activité peut être agréée rétroactivement pendant un cycle ou une période de stage. Une approbation rétroactive n’est plus possible après le 31 janvier de l’année qui suit le cycle ou après un mois à compter de la fin de la période de stage.</w:t>
            </w:r>
          </w:p>
        </w:tc>
      </w:tr>
      <w:tr w:rsidR="00E038BA" w:rsidRPr="005D37C9" w:rsidTr="00E038BA">
        <w:tc>
          <w:tcPr>
            <w:tcW w:w="8359" w:type="dxa"/>
          </w:tcPr>
          <w:p w:rsidR="00E038BA" w:rsidRPr="005D37C9" w:rsidRDefault="00E038BA" w:rsidP="00F80002">
            <w:pPr>
              <w:jc w:val="both"/>
              <w:rPr>
                <w:b/>
                <w:bCs/>
                <w:sz w:val="22"/>
                <w:szCs w:val="22"/>
                <w:lang w:val="fr-FR"/>
              </w:rPr>
            </w:pPr>
            <w:r w:rsidRPr="005D37C9">
              <w:rPr>
                <w:b/>
                <w:bCs/>
                <w:sz w:val="22"/>
                <w:szCs w:val="22"/>
                <w:lang w:val="fr-FR"/>
              </w:rPr>
              <w:t>Article 7. Contrôle</w:t>
            </w:r>
          </w:p>
        </w:tc>
      </w:tr>
      <w:tr w:rsidR="00E038BA" w:rsidRPr="00E038BA" w:rsidTr="00E038BA">
        <w:tc>
          <w:tcPr>
            <w:tcW w:w="8359" w:type="dxa"/>
          </w:tcPr>
          <w:p w:rsidR="00E038BA" w:rsidRPr="005D37C9" w:rsidRDefault="00E038BA" w:rsidP="00F80002">
            <w:pPr>
              <w:jc w:val="both"/>
              <w:rPr>
                <w:sz w:val="22"/>
                <w:szCs w:val="22"/>
                <w:lang w:val="fr-FR"/>
              </w:rPr>
            </w:pPr>
            <w:r w:rsidRPr="005D37C9">
              <w:rPr>
                <w:sz w:val="22"/>
                <w:szCs w:val="22"/>
                <w:lang w:val="fr-FR"/>
              </w:rPr>
              <w:t>§ 1</w:t>
            </w:r>
            <w:r w:rsidRPr="005D37C9">
              <w:rPr>
                <w:sz w:val="22"/>
                <w:szCs w:val="22"/>
                <w:vertAlign w:val="superscript"/>
                <w:lang w:val="fr-FR"/>
              </w:rPr>
              <w:t>er</w:t>
            </w:r>
            <w:r w:rsidRPr="005D37C9">
              <w:rPr>
                <w:sz w:val="22"/>
                <w:szCs w:val="22"/>
                <w:lang w:val="fr-FR"/>
              </w:rPr>
              <w:t>. La chambre provinciale contrôle l’application du présent règlement, en ce qui concerne les notaires, et les candidat</w:t>
            </w:r>
            <w:r w:rsidR="00D35FE1">
              <w:rPr>
                <w:sz w:val="22"/>
                <w:szCs w:val="22"/>
                <w:lang w:val="fr-FR"/>
              </w:rPr>
              <w:t>s</w:t>
            </w:r>
            <w:r w:rsidRPr="005D37C9">
              <w:rPr>
                <w:sz w:val="22"/>
                <w:szCs w:val="22"/>
                <w:lang w:val="fr-FR"/>
              </w:rPr>
              <w:t>-notaires.</w:t>
            </w:r>
          </w:p>
        </w:tc>
      </w:tr>
      <w:tr w:rsidR="00E038BA" w:rsidRPr="00E038BA" w:rsidTr="00E038BA">
        <w:tc>
          <w:tcPr>
            <w:tcW w:w="8359" w:type="dxa"/>
          </w:tcPr>
          <w:p w:rsidR="00E038BA" w:rsidRPr="005D37C9" w:rsidRDefault="00E038BA" w:rsidP="005E58E0">
            <w:pPr>
              <w:jc w:val="both"/>
              <w:rPr>
                <w:sz w:val="22"/>
                <w:szCs w:val="22"/>
                <w:lang w:val="fr-FR"/>
              </w:rPr>
            </w:pPr>
            <w:r w:rsidRPr="005D37C9">
              <w:rPr>
                <w:sz w:val="22"/>
                <w:szCs w:val="22"/>
                <w:lang w:val="fr-FR"/>
              </w:rPr>
              <w:t>A cet effet, le notaire et le candidat-notaire communiquent à la chambre de leur compagnie, au plus tard le 31 janvier suivant la fin d’un cycle de formation, le programme qu’ils ont suivi en joignant les pièces justificatives et les attestations de présence.</w:t>
            </w:r>
          </w:p>
        </w:tc>
      </w:tr>
      <w:tr w:rsidR="00E038BA" w:rsidRPr="00E038BA" w:rsidTr="00E038BA">
        <w:tc>
          <w:tcPr>
            <w:tcW w:w="8359" w:type="dxa"/>
          </w:tcPr>
          <w:p w:rsidR="00E038BA" w:rsidRPr="005D37C9" w:rsidRDefault="00E038BA" w:rsidP="005E58E0">
            <w:pPr>
              <w:jc w:val="both"/>
              <w:rPr>
                <w:sz w:val="22"/>
                <w:szCs w:val="22"/>
                <w:lang w:val="fr-FR"/>
              </w:rPr>
            </w:pPr>
            <w:r w:rsidRPr="005D37C9">
              <w:rPr>
                <w:sz w:val="22"/>
                <w:szCs w:val="22"/>
                <w:lang w:val="fr-FR"/>
              </w:rPr>
              <w:t>§ 2. La commission de stage contrôle l’application du présent règlement, en ce qui concerne les stagiaires.</w:t>
            </w:r>
          </w:p>
        </w:tc>
      </w:tr>
      <w:tr w:rsidR="00E038BA" w:rsidRPr="00E038BA" w:rsidTr="00E038BA">
        <w:tc>
          <w:tcPr>
            <w:tcW w:w="8359" w:type="dxa"/>
          </w:tcPr>
          <w:p w:rsidR="00E038BA" w:rsidRPr="00E038BA" w:rsidRDefault="00E038BA" w:rsidP="005E58E0">
            <w:pPr>
              <w:jc w:val="both"/>
              <w:rPr>
                <w:sz w:val="22"/>
                <w:szCs w:val="22"/>
                <w:lang w:val="fr-FR"/>
              </w:rPr>
            </w:pPr>
            <w:r w:rsidRPr="005D37C9">
              <w:rPr>
                <w:sz w:val="22"/>
                <w:szCs w:val="22"/>
                <w:lang w:val="fr-FR"/>
              </w:rPr>
              <w:t>A cet effet, le stagiaire communique à la commission de stage de sa compagnie, au plus tard quinze jours avant la dernière audience suivant la fin de la période de stage, le programme qu’il a suivi avec les pièces justificatives et les attestations de présence.</w:t>
            </w:r>
          </w:p>
        </w:tc>
      </w:tr>
      <w:tr w:rsidR="00E038BA" w:rsidRPr="005D37C9" w:rsidTr="00E038BA">
        <w:tc>
          <w:tcPr>
            <w:tcW w:w="8359" w:type="dxa"/>
          </w:tcPr>
          <w:p w:rsidR="00E038BA" w:rsidRPr="005D37C9" w:rsidRDefault="00E038BA" w:rsidP="005E58E0">
            <w:pPr>
              <w:jc w:val="both"/>
              <w:rPr>
                <w:b/>
                <w:bCs/>
                <w:sz w:val="22"/>
                <w:szCs w:val="22"/>
                <w:lang w:val="fr-FR"/>
              </w:rPr>
            </w:pPr>
            <w:r w:rsidRPr="005D37C9">
              <w:rPr>
                <w:b/>
                <w:bCs/>
                <w:sz w:val="22"/>
                <w:szCs w:val="22"/>
                <w:lang w:val="fr-FR"/>
              </w:rPr>
              <w:t>Article 8. Entrée en vigueur</w:t>
            </w:r>
          </w:p>
        </w:tc>
      </w:tr>
      <w:tr w:rsidR="00E038BA" w:rsidRPr="00E038BA" w:rsidTr="00E038BA">
        <w:tc>
          <w:tcPr>
            <w:tcW w:w="8359" w:type="dxa"/>
          </w:tcPr>
          <w:p w:rsidR="00E038BA" w:rsidRPr="005D37C9" w:rsidRDefault="00E038BA" w:rsidP="005E58E0">
            <w:pPr>
              <w:jc w:val="both"/>
              <w:rPr>
                <w:sz w:val="22"/>
                <w:szCs w:val="22"/>
                <w:lang w:val="fr-FR"/>
              </w:rPr>
            </w:pPr>
            <w:r w:rsidRPr="005D37C9">
              <w:rPr>
                <w:sz w:val="22"/>
                <w:szCs w:val="22"/>
                <w:lang w:val="fr-FR"/>
              </w:rPr>
              <w:t>Le premier cycle de deux ans débute le 1</w:t>
            </w:r>
            <w:r w:rsidRPr="005D37C9">
              <w:rPr>
                <w:sz w:val="22"/>
                <w:szCs w:val="22"/>
                <w:vertAlign w:val="superscript"/>
                <w:lang w:val="fr-FR"/>
              </w:rPr>
              <w:t>er</w:t>
            </w:r>
            <w:r w:rsidRPr="005D37C9">
              <w:rPr>
                <w:sz w:val="22"/>
                <w:szCs w:val="22"/>
                <w:lang w:val="fr-FR"/>
              </w:rPr>
              <w:t xml:space="preserve"> janvier 2008.</w:t>
            </w:r>
          </w:p>
        </w:tc>
      </w:tr>
      <w:tr w:rsidR="00E038BA" w:rsidRPr="00E038BA" w:rsidTr="00E038BA">
        <w:tc>
          <w:tcPr>
            <w:tcW w:w="8359" w:type="dxa"/>
          </w:tcPr>
          <w:p w:rsidR="00E038BA" w:rsidRPr="005D37C9" w:rsidRDefault="00E038BA" w:rsidP="00F80002">
            <w:pPr>
              <w:jc w:val="both"/>
              <w:rPr>
                <w:sz w:val="22"/>
                <w:szCs w:val="22"/>
                <w:lang w:val="fr-FR"/>
              </w:rPr>
            </w:pPr>
            <w:r w:rsidRPr="005D37C9">
              <w:rPr>
                <w:sz w:val="22"/>
                <w:szCs w:val="22"/>
                <w:lang w:val="fr-FR"/>
              </w:rPr>
              <w:t>Ce règlement s’applique aux stagiaires dès le 1</w:t>
            </w:r>
            <w:r w:rsidRPr="005D37C9">
              <w:rPr>
                <w:sz w:val="22"/>
                <w:szCs w:val="22"/>
                <w:vertAlign w:val="superscript"/>
                <w:lang w:val="fr-FR"/>
              </w:rPr>
              <w:t>er</w:t>
            </w:r>
            <w:r w:rsidRPr="005D37C9">
              <w:rPr>
                <w:sz w:val="22"/>
                <w:szCs w:val="22"/>
                <w:lang w:val="fr-FR"/>
              </w:rPr>
              <w:t xml:space="preserve"> septembre 2016. Pour les périodes de stage en cours, un calcul </w:t>
            </w:r>
            <w:r w:rsidRPr="005D37C9">
              <w:rPr>
                <w:i/>
                <w:sz w:val="22"/>
                <w:szCs w:val="22"/>
                <w:lang w:val="fr-FR"/>
              </w:rPr>
              <w:t>pro rata</w:t>
            </w:r>
            <w:r w:rsidRPr="005D37C9">
              <w:rPr>
                <w:sz w:val="22"/>
                <w:szCs w:val="22"/>
                <w:lang w:val="fr-FR"/>
              </w:rPr>
              <w:t xml:space="preserve"> sera établi.</w:t>
            </w:r>
          </w:p>
        </w:tc>
      </w:tr>
      <w:tr w:rsidR="00E038BA" w:rsidRPr="00E038BA" w:rsidTr="00E038BA">
        <w:tc>
          <w:tcPr>
            <w:tcW w:w="8359" w:type="dxa"/>
          </w:tcPr>
          <w:p w:rsidR="00E038BA" w:rsidRPr="005D37C9" w:rsidRDefault="00E038BA" w:rsidP="005D37C9">
            <w:pPr>
              <w:pStyle w:val="Heading3"/>
              <w:rPr>
                <w:sz w:val="22"/>
                <w:szCs w:val="22"/>
                <w:u w:val="none"/>
                <w:lang w:val="fr-BE"/>
              </w:rPr>
            </w:pPr>
            <w:r w:rsidRPr="005D37C9">
              <w:rPr>
                <w:b/>
                <w:sz w:val="22"/>
                <w:szCs w:val="22"/>
                <w:u w:val="none"/>
                <w:lang w:val="fr-BE"/>
              </w:rPr>
              <w:t>Article 9. Rédaction et modification des modèles</w:t>
            </w:r>
          </w:p>
        </w:tc>
      </w:tr>
      <w:tr w:rsidR="00E038BA" w:rsidRPr="00E038BA" w:rsidTr="00E038BA">
        <w:tc>
          <w:tcPr>
            <w:tcW w:w="8359" w:type="dxa"/>
          </w:tcPr>
          <w:p w:rsidR="00E038BA" w:rsidRPr="005D37C9" w:rsidRDefault="00E038BA" w:rsidP="005E58E0">
            <w:pPr>
              <w:jc w:val="both"/>
              <w:rPr>
                <w:sz w:val="22"/>
                <w:szCs w:val="22"/>
                <w:lang w:val="fr-BE"/>
              </w:rPr>
            </w:pPr>
            <w:r w:rsidRPr="005D37C9">
              <w:rPr>
                <w:sz w:val="22"/>
                <w:szCs w:val="22"/>
                <w:lang w:val="fr-BE"/>
              </w:rPr>
              <w:t>Le comité de direction de la Chambre nationale des notaires peut, en cas de nécessité, rédiger des modèles et apporter des modifications aux modèles, en exécution du présent règlement.</w:t>
            </w:r>
          </w:p>
        </w:tc>
      </w:tr>
    </w:tbl>
    <w:p w:rsidR="00BE0A34" w:rsidRPr="00DA775C" w:rsidRDefault="00BE0A34">
      <w:pPr>
        <w:rPr>
          <w:rFonts w:asciiTheme="minorHAnsi" w:hAnsiTheme="minorHAnsi"/>
          <w:sz w:val="22"/>
          <w:szCs w:val="22"/>
          <w:lang w:val="fr-FR"/>
        </w:rPr>
      </w:pPr>
    </w:p>
    <w:sectPr w:rsidR="00BE0A34" w:rsidRPr="00DA775C" w:rsidSect="005D37C9">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CFB" w:rsidRDefault="009A0CFB">
      <w:r>
        <w:separator/>
      </w:r>
    </w:p>
  </w:endnote>
  <w:endnote w:type="continuationSeparator" w:id="0">
    <w:p w:rsidR="009A0CFB" w:rsidRDefault="009A0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CFB" w:rsidRDefault="009A0C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7353">
      <w:rPr>
        <w:rStyle w:val="PageNumber"/>
        <w:noProof/>
      </w:rPr>
      <w:t>7</w:t>
    </w:r>
    <w:r>
      <w:rPr>
        <w:rStyle w:val="PageNumber"/>
      </w:rPr>
      <w:fldChar w:fldCharType="end"/>
    </w:r>
  </w:p>
  <w:p w:rsidR="009A0CFB" w:rsidRDefault="009A0C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CFB" w:rsidRPr="00DA775C" w:rsidRDefault="009A0CFB">
    <w:pPr>
      <w:pStyle w:val="Footer"/>
      <w:jc w:val="center"/>
      <w:rPr>
        <w:rFonts w:asciiTheme="minorHAnsi" w:hAnsiTheme="minorHAnsi"/>
        <w:sz w:val="22"/>
        <w:szCs w:val="22"/>
      </w:rPr>
    </w:pPr>
    <w:r w:rsidRPr="00DA775C">
      <w:rPr>
        <w:rFonts w:asciiTheme="minorHAnsi" w:hAnsiTheme="minorHAnsi"/>
        <w:sz w:val="22"/>
        <w:szCs w:val="22"/>
      </w:rPr>
      <w:fldChar w:fldCharType="begin"/>
    </w:r>
    <w:r w:rsidRPr="00DA775C">
      <w:rPr>
        <w:rFonts w:asciiTheme="minorHAnsi" w:hAnsiTheme="minorHAnsi"/>
        <w:sz w:val="22"/>
        <w:szCs w:val="22"/>
      </w:rPr>
      <w:instrText xml:space="preserve"> PAGE   \* MERGEFORMAT </w:instrText>
    </w:r>
    <w:r w:rsidRPr="00DA775C">
      <w:rPr>
        <w:rFonts w:asciiTheme="minorHAnsi" w:hAnsiTheme="minorHAnsi"/>
        <w:sz w:val="22"/>
        <w:szCs w:val="22"/>
      </w:rPr>
      <w:fldChar w:fldCharType="separate"/>
    </w:r>
    <w:r w:rsidR="00E061BC">
      <w:rPr>
        <w:rFonts w:asciiTheme="minorHAnsi" w:hAnsiTheme="minorHAnsi"/>
        <w:noProof/>
        <w:sz w:val="22"/>
        <w:szCs w:val="22"/>
      </w:rPr>
      <w:t>1</w:t>
    </w:r>
    <w:r w:rsidRPr="00DA775C">
      <w:rPr>
        <w:rFonts w:asciiTheme="minorHAnsi" w:hAnsiTheme="minorHAnsi"/>
        <w:sz w:val="22"/>
        <w:szCs w:val="22"/>
      </w:rPr>
      <w:fldChar w:fldCharType="end"/>
    </w:r>
  </w:p>
  <w:p w:rsidR="009A0CFB" w:rsidRDefault="009A0CF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968419"/>
      <w:docPartObj>
        <w:docPartGallery w:val="Page Numbers (Bottom of Page)"/>
        <w:docPartUnique/>
      </w:docPartObj>
    </w:sdtPr>
    <w:sdtEndPr>
      <w:rPr>
        <w:rFonts w:asciiTheme="minorHAnsi" w:hAnsiTheme="minorHAnsi"/>
        <w:noProof/>
        <w:sz w:val="22"/>
        <w:szCs w:val="22"/>
      </w:rPr>
    </w:sdtEndPr>
    <w:sdtContent>
      <w:p w:rsidR="00120070" w:rsidRPr="00120070" w:rsidRDefault="00120070">
        <w:pPr>
          <w:pStyle w:val="Footer"/>
          <w:jc w:val="center"/>
          <w:rPr>
            <w:rFonts w:asciiTheme="minorHAnsi" w:hAnsiTheme="minorHAnsi"/>
            <w:sz w:val="22"/>
            <w:szCs w:val="22"/>
          </w:rPr>
        </w:pPr>
        <w:r w:rsidRPr="00120070">
          <w:rPr>
            <w:rFonts w:asciiTheme="minorHAnsi" w:hAnsiTheme="minorHAnsi"/>
            <w:sz w:val="22"/>
            <w:szCs w:val="22"/>
          </w:rPr>
          <w:fldChar w:fldCharType="begin"/>
        </w:r>
        <w:r w:rsidRPr="00120070">
          <w:rPr>
            <w:rFonts w:asciiTheme="minorHAnsi" w:hAnsiTheme="minorHAnsi"/>
            <w:sz w:val="22"/>
            <w:szCs w:val="22"/>
          </w:rPr>
          <w:instrText xml:space="preserve"> PAGE   \* MERGEFORMAT </w:instrText>
        </w:r>
        <w:r w:rsidRPr="00120070">
          <w:rPr>
            <w:rFonts w:asciiTheme="minorHAnsi" w:hAnsiTheme="minorHAnsi"/>
            <w:sz w:val="22"/>
            <w:szCs w:val="22"/>
          </w:rPr>
          <w:fldChar w:fldCharType="separate"/>
        </w:r>
        <w:r w:rsidR="005D37C9">
          <w:rPr>
            <w:rFonts w:asciiTheme="minorHAnsi" w:hAnsiTheme="minorHAnsi"/>
            <w:noProof/>
            <w:sz w:val="22"/>
            <w:szCs w:val="22"/>
          </w:rPr>
          <w:t>1</w:t>
        </w:r>
        <w:r w:rsidRPr="00120070">
          <w:rPr>
            <w:rFonts w:asciiTheme="minorHAnsi" w:hAnsiTheme="minorHAnsi"/>
            <w:noProof/>
            <w:sz w:val="22"/>
            <w:szCs w:val="22"/>
          </w:rPr>
          <w:fldChar w:fldCharType="end"/>
        </w:r>
      </w:p>
    </w:sdtContent>
  </w:sdt>
  <w:p w:rsidR="00120070" w:rsidRDefault="001200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CFB" w:rsidRDefault="009A0CFB">
      <w:r>
        <w:separator/>
      </w:r>
    </w:p>
  </w:footnote>
  <w:footnote w:type="continuationSeparator" w:id="0">
    <w:p w:rsidR="009A0CFB" w:rsidRDefault="009A0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7C9" w:rsidRPr="005D37C9" w:rsidRDefault="005D37C9">
    <w:pPr>
      <w:pStyle w:val="Header"/>
      <w:rPr>
        <w:rFonts w:asciiTheme="minorHAnsi" w:hAnsiTheme="minorHAnsi" w:cstheme="minorHAnsi"/>
        <w:sz w:val="18"/>
        <w:szCs w:val="18"/>
        <w:lang w:val="fr-BE"/>
      </w:rPr>
    </w:pPr>
    <w:r w:rsidRPr="005D37C9">
      <w:rPr>
        <w:rFonts w:asciiTheme="minorHAnsi" w:hAnsiTheme="minorHAnsi" w:cstheme="minorHAnsi"/>
        <w:sz w:val="18"/>
        <w:szCs w:val="18"/>
        <w:lang w:val="fr-BE"/>
      </w:rPr>
      <w:t>24/01/2019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563" w:rsidRPr="005D37C9" w:rsidRDefault="005D37C9">
    <w:pPr>
      <w:pStyle w:val="Header"/>
      <w:rPr>
        <w:rFonts w:asciiTheme="minorHAnsi" w:hAnsiTheme="minorHAnsi" w:cstheme="minorHAnsi"/>
        <w:sz w:val="18"/>
        <w:szCs w:val="18"/>
        <w:lang w:val="fr-BE"/>
      </w:rPr>
    </w:pPr>
    <w:r w:rsidRPr="005D37C9">
      <w:rPr>
        <w:rFonts w:asciiTheme="minorHAnsi" w:hAnsiTheme="minorHAnsi" w:cstheme="minorHAnsi"/>
        <w:sz w:val="18"/>
        <w:szCs w:val="18"/>
        <w:lang w:val="fr-BE"/>
      </w:rPr>
      <w:t>24/01/2019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979"/>
    <w:multiLevelType w:val="hybridMultilevel"/>
    <w:tmpl w:val="B974420A"/>
    <w:lvl w:ilvl="0" w:tplc="039EFF34">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97CB4"/>
    <w:multiLevelType w:val="hybridMultilevel"/>
    <w:tmpl w:val="9D1A8AB8"/>
    <w:lvl w:ilvl="0" w:tplc="E4C881EE">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55594"/>
    <w:multiLevelType w:val="hybridMultilevel"/>
    <w:tmpl w:val="BE4CF02A"/>
    <w:lvl w:ilvl="0" w:tplc="45787DE4">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26093"/>
    <w:multiLevelType w:val="hybridMultilevel"/>
    <w:tmpl w:val="A0BE01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D00D5A"/>
    <w:multiLevelType w:val="hybridMultilevel"/>
    <w:tmpl w:val="FAA4F8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0D2CB8"/>
    <w:multiLevelType w:val="hybridMultilevel"/>
    <w:tmpl w:val="965262B2"/>
    <w:lvl w:ilvl="0" w:tplc="A79CC0A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9F7A87"/>
    <w:multiLevelType w:val="hybridMultilevel"/>
    <w:tmpl w:val="CA7C96C6"/>
    <w:lvl w:ilvl="0" w:tplc="9BC4159A">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B91353"/>
    <w:multiLevelType w:val="hybridMultilevel"/>
    <w:tmpl w:val="FA96E442"/>
    <w:lvl w:ilvl="0" w:tplc="5EB6FF1A">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A0EEC"/>
    <w:multiLevelType w:val="hybridMultilevel"/>
    <w:tmpl w:val="6A408AD0"/>
    <w:lvl w:ilvl="0" w:tplc="F6B6689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7A02EC"/>
    <w:multiLevelType w:val="hybridMultilevel"/>
    <w:tmpl w:val="B5CCDC50"/>
    <w:lvl w:ilvl="0" w:tplc="A91E7A02">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E35B0F"/>
    <w:multiLevelType w:val="hybridMultilevel"/>
    <w:tmpl w:val="470C2CE4"/>
    <w:lvl w:ilvl="0" w:tplc="B1DCC3A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8F7170"/>
    <w:multiLevelType w:val="hybridMultilevel"/>
    <w:tmpl w:val="F458615E"/>
    <w:lvl w:ilvl="0" w:tplc="B7D29B4C">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16B81"/>
    <w:multiLevelType w:val="hybridMultilevel"/>
    <w:tmpl w:val="FAF4E416"/>
    <w:lvl w:ilvl="0" w:tplc="6100BAA8">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414CC1"/>
    <w:multiLevelType w:val="hybridMultilevel"/>
    <w:tmpl w:val="60A29776"/>
    <w:lvl w:ilvl="0" w:tplc="B1DCC3A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400D98"/>
    <w:multiLevelType w:val="hybridMultilevel"/>
    <w:tmpl w:val="869224DC"/>
    <w:lvl w:ilvl="0" w:tplc="CE9CB27A">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024FCE"/>
    <w:multiLevelType w:val="hybridMultilevel"/>
    <w:tmpl w:val="ED9E4D5C"/>
    <w:lvl w:ilvl="0" w:tplc="6BBC79AE">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580168"/>
    <w:multiLevelType w:val="hybridMultilevel"/>
    <w:tmpl w:val="8932A448"/>
    <w:lvl w:ilvl="0" w:tplc="A79CC0A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3911C59"/>
    <w:multiLevelType w:val="hybridMultilevel"/>
    <w:tmpl w:val="7542CA40"/>
    <w:lvl w:ilvl="0" w:tplc="0F2A1C1C">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507F6C"/>
    <w:multiLevelType w:val="hybridMultilevel"/>
    <w:tmpl w:val="614C3B96"/>
    <w:lvl w:ilvl="0" w:tplc="051EC4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3B30F83"/>
    <w:multiLevelType w:val="hybridMultilevel"/>
    <w:tmpl w:val="B6D6E884"/>
    <w:lvl w:ilvl="0" w:tplc="BF36EC52">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93386B"/>
    <w:multiLevelType w:val="hybridMultilevel"/>
    <w:tmpl w:val="2D8C97F0"/>
    <w:lvl w:ilvl="0" w:tplc="5E2AC916">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AC6213"/>
    <w:multiLevelType w:val="hybridMultilevel"/>
    <w:tmpl w:val="7CC89FB8"/>
    <w:lvl w:ilvl="0" w:tplc="F27885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2A57FDC"/>
    <w:multiLevelType w:val="hybridMultilevel"/>
    <w:tmpl w:val="7410FFAA"/>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2AC0507"/>
    <w:multiLevelType w:val="hybridMultilevel"/>
    <w:tmpl w:val="98B8337C"/>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4E54EDF"/>
    <w:multiLevelType w:val="hybridMultilevel"/>
    <w:tmpl w:val="F3908F76"/>
    <w:lvl w:ilvl="0" w:tplc="66CC1438">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924ED3"/>
    <w:multiLevelType w:val="hybridMultilevel"/>
    <w:tmpl w:val="72BCFEB4"/>
    <w:lvl w:ilvl="0" w:tplc="2D6AC4DA">
      <w:start w:val="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23"/>
  </w:num>
  <w:num w:numId="4">
    <w:abstractNumId w:val="16"/>
  </w:num>
  <w:num w:numId="5">
    <w:abstractNumId w:val="25"/>
  </w:num>
  <w:num w:numId="6">
    <w:abstractNumId w:val="5"/>
  </w:num>
  <w:num w:numId="7">
    <w:abstractNumId w:val="9"/>
  </w:num>
  <w:num w:numId="8">
    <w:abstractNumId w:val="18"/>
  </w:num>
  <w:num w:numId="9">
    <w:abstractNumId w:val="4"/>
  </w:num>
  <w:num w:numId="10">
    <w:abstractNumId w:val="21"/>
  </w:num>
  <w:num w:numId="11">
    <w:abstractNumId w:val="10"/>
  </w:num>
  <w:num w:numId="12">
    <w:abstractNumId w:val="13"/>
  </w:num>
  <w:num w:numId="13">
    <w:abstractNumId w:val="24"/>
  </w:num>
  <w:num w:numId="14">
    <w:abstractNumId w:val="14"/>
  </w:num>
  <w:num w:numId="15">
    <w:abstractNumId w:val="0"/>
  </w:num>
  <w:num w:numId="16">
    <w:abstractNumId w:val="12"/>
  </w:num>
  <w:num w:numId="17">
    <w:abstractNumId w:val="19"/>
  </w:num>
  <w:num w:numId="18">
    <w:abstractNumId w:val="15"/>
  </w:num>
  <w:num w:numId="19">
    <w:abstractNumId w:val="1"/>
  </w:num>
  <w:num w:numId="20">
    <w:abstractNumId w:val="7"/>
  </w:num>
  <w:num w:numId="21">
    <w:abstractNumId w:val="2"/>
  </w:num>
  <w:num w:numId="22">
    <w:abstractNumId w:val="20"/>
  </w:num>
  <w:num w:numId="23">
    <w:abstractNumId w:val="6"/>
  </w:num>
  <w:num w:numId="24">
    <w:abstractNumId w:val="8"/>
  </w:num>
  <w:num w:numId="25">
    <w:abstractNumId w:val="1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6C"/>
    <w:rsid w:val="00006437"/>
    <w:rsid w:val="000078E9"/>
    <w:rsid w:val="000106E7"/>
    <w:rsid w:val="00025A98"/>
    <w:rsid w:val="0002617C"/>
    <w:rsid w:val="00047BBA"/>
    <w:rsid w:val="0005022B"/>
    <w:rsid w:val="0005027B"/>
    <w:rsid w:val="00050A6A"/>
    <w:rsid w:val="00067D54"/>
    <w:rsid w:val="000716B4"/>
    <w:rsid w:val="0007386E"/>
    <w:rsid w:val="000818CE"/>
    <w:rsid w:val="000830A4"/>
    <w:rsid w:val="000956E6"/>
    <w:rsid w:val="00097353"/>
    <w:rsid w:val="00097C4A"/>
    <w:rsid w:val="000A2186"/>
    <w:rsid w:val="000A6EE0"/>
    <w:rsid w:val="000B0265"/>
    <w:rsid w:val="000B42C8"/>
    <w:rsid w:val="000D7A95"/>
    <w:rsid w:val="000E35C8"/>
    <w:rsid w:val="000F6FE1"/>
    <w:rsid w:val="00100A9F"/>
    <w:rsid w:val="0011216A"/>
    <w:rsid w:val="001143C6"/>
    <w:rsid w:val="00117F98"/>
    <w:rsid w:val="00120070"/>
    <w:rsid w:val="00124726"/>
    <w:rsid w:val="001421A3"/>
    <w:rsid w:val="00142760"/>
    <w:rsid w:val="00144FF6"/>
    <w:rsid w:val="00146A85"/>
    <w:rsid w:val="00150CEC"/>
    <w:rsid w:val="00157BCB"/>
    <w:rsid w:val="00160782"/>
    <w:rsid w:val="00162D27"/>
    <w:rsid w:val="00165B6B"/>
    <w:rsid w:val="00170A1C"/>
    <w:rsid w:val="00171914"/>
    <w:rsid w:val="00180874"/>
    <w:rsid w:val="00186651"/>
    <w:rsid w:val="001960BB"/>
    <w:rsid w:val="001B0485"/>
    <w:rsid w:val="001B1041"/>
    <w:rsid w:val="001B2DB0"/>
    <w:rsid w:val="001D1E49"/>
    <w:rsid w:val="001D5613"/>
    <w:rsid w:val="001E06DA"/>
    <w:rsid w:val="001E0CAC"/>
    <w:rsid w:val="001E61C2"/>
    <w:rsid w:val="001F4383"/>
    <w:rsid w:val="002017B8"/>
    <w:rsid w:val="0020300F"/>
    <w:rsid w:val="00204CB0"/>
    <w:rsid w:val="00207566"/>
    <w:rsid w:val="00211DC2"/>
    <w:rsid w:val="00221FCD"/>
    <w:rsid w:val="00233900"/>
    <w:rsid w:val="00236578"/>
    <w:rsid w:val="002411BE"/>
    <w:rsid w:val="00243C0D"/>
    <w:rsid w:val="00264609"/>
    <w:rsid w:val="002654DE"/>
    <w:rsid w:val="002657B3"/>
    <w:rsid w:val="0027416D"/>
    <w:rsid w:val="002843E7"/>
    <w:rsid w:val="00287B6D"/>
    <w:rsid w:val="00294E84"/>
    <w:rsid w:val="002A00B2"/>
    <w:rsid w:val="002C3EB6"/>
    <w:rsid w:val="002D198B"/>
    <w:rsid w:val="002D345A"/>
    <w:rsid w:val="002D783A"/>
    <w:rsid w:val="002E67EE"/>
    <w:rsid w:val="002E7D9B"/>
    <w:rsid w:val="002F3F69"/>
    <w:rsid w:val="003245B9"/>
    <w:rsid w:val="00324FC6"/>
    <w:rsid w:val="003268E5"/>
    <w:rsid w:val="00331634"/>
    <w:rsid w:val="00331CE6"/>
    <w:rsid w:val="00335AC4"/>
    <w:rsid w:val="00340223"/>
    <w:rsid w:val="003449B9"/>
    <w:rsid w:val="003601E5"/>
    <w:rsid w:val="0036389F"/>
    <w:rsid w:val="00366DB9"/>
    <w:rsid w:val="0037190A"/>
    <w:rsid w:val="00382C33"/>
    <w:rsid w:val="00390EBE"/>
    <w:rsid w:val="00395AB4"/>
    <w:rsid w:val="003A2B72"/>
    <w:rsid w:val="003B1597"/>
    <w:rsid w:val="003D1E1D"/>
    <w:rsid w:val="003D4F08"/>
    <w:rsid w:val="003D7B21"/>
    <w:rsid w:val="003E0638"/>
    <w:rsid w:val="003E1020"/>
    <w:rsid w:val="003E3378"/>
    <w:rsid w:val="003E34D1"/>
    <w:rsid w:val="0043178A"/>
    <w:rsid w:val="00451850"/>
    <w:rsid w:val="00452D27"/>
    <w:rsid w:val="00457877"/>
    <w:rsid w:val="00461151"/>
    <w:rsid w:val="00471F07"/>
    <w:rsid w:val="0048040D"/>
    <w:rsid w:val="004847B1"/>
    <w:rsid w:val="004849B8"/>
    <w:rsid w:val="00490029"/>
    <w:rsid w:val="004A04E6"/>
    <w:rsid w:val="004A1AB2"/>
    <w:rsid w:val="004A530A"/>
    <w:rsid w:val="004B3F38"/>
    <w:rsid w:val="004D03B0"/>
    <w:rsid w:val="004D63EE"/>
    <w:rsid w:val="004D766A"/>
    <w:rsid w:val="00500473"/>
    <w:rsid w:val="00502188"/>
    <w:rsid w:val="0052110C"/>
    <w:rsid w:val="005235FE"/>
    <w:rsid w:val="00523E8E"/>
    <w:rsid w:val="005321C9"/>
    <w:rsid w:val="00536F8A"/>
    <w:rsid w:val="00540B3C"/>
    <w:rsid w:val="005614B0"/>
    <w:rsid w:val="005758D1"/>
    <w:rsid w:val="005A2DFC"/>
    <w:rsid w:val="005A3BC6"/>
    <w:rsid w:val="005A53ED"/>
    <w:rsid w:val="005C7563"/>
    <w:rsid w:val="005D02F3"/>
    <w:rsid w:val="005D13C0"/>
    <w:rsid w:val="005D37C9"/>
    <w:rsid w:val="005D406E"/>
    <w:rsid w:val="005E25FC"/>
    <w:rsid w:val="005E58E0"/>
    <w:rsid w:val="006061D1"/>
    <w:rsid w:val="00613A4B"/>
    <w:rsid w:val="006244B7"/>
    <w:rsid w:val="00630409"/>
    <w:rsid w:val="00665A56"/>
    <w:rsid w:val="00672F37"/>
    <w:rsid w:val="00673A22"/>
    <w:rsid w:val="006741B5"/>
    <w:rsid w:val="00681675"/>
    <w:rsid w:val="00681CC4"/>
    <w:rsid w:val="00687202"/>
    <w:rsid w:val="00691719"/>
    <w:rsid w:val="0069693B"/>
    <w:rsid w:val="006A37C0"/>
    <w:rsid w:val="006A68C8"/>
    <w:rsid w:val="006A7C6D"/>
    <w:rsid w:val="006C00B4"/>
    <w:rsid w:val="006C4426"/>
    <w:rsid w:val="006E1612"/>
    <w:rsid w:val="006E3CB1"/>
    <w:rsid w:val="006E5B4A"/>
    <w:rsid w:val="006F0439"/>
    <w:rsid w:val="00723708"/>
    <w:rsid w:val="007243B7"/>
    <w:rsid w:val="00730E09"/>
    <w:rsid w:val="00741503"/>
    <w:rsid w:val="007517DB"/>
    <w:rsid w:val="0075606B"/>
    <w:rsid w:val="00772105"/>
    <w:rsid w:val="007725FE"/>
    <w:rsid w:val="00774858"/>
    <w:rsid w:val="00774D77"/>
    <w:rsid w:val="0078014F"/>
    <w:rsid w:val="007869DB"/>
    <w:rsid w:val="00791652"/>
    <w:rsid w:val="007967C8"/>
    <w:rsid w:val="007A0D4B"/>
    <w:rsid w:val="007A107C"/>
    <w:rsid w:val="007A3C52"/>
    <w:rsid w:val="007B68D3"/>
    <w:rsid w:val="007C473D"/>
    <w:rsid w:val="007C7AD3"/>
    <w:rsid w:val="007D6891"/>
    <w:rsid w:val="007D7E00"/>
    <w:rsid w:val="007F4D7C"/>
    <w:rsid w:val="00815C4F"/>
    <w:rsid w:val="008225C8"/>
    <w:rsid w:val="00831689"/>
    <w:rsid w:val="00835B84"/>
    <w:rsid w:val="00840907"/>
    <w:rsid w:val="008414E9"/>
    <w:rsid w:val="0085023B"/>
    <w:rsid w:val="00851091"/>
    <w:rsid w:val="008710C2"/>
    <w:rsid w:val="00874ED5"/>
    <w:rsid w:val="00875CD6"/>
    <w:rsid w:val="00876FA9"/>
    <w:rsid w:val="00877BFC"/>
    <w:rsid w:val="0089529D"/>
    <w:rsid w:val="008A0419"/>
    <w:rsid w:val="008A3933"/>
    <w:rsid w:val="008B5683"/>
    <w:rsid w:val="008C5FBD"/>
    <w:rsid w:val="008C7E69"/>
    <w:rsid w:val="008D3502"/>
    <w:rsid w:val="008E3E88"/>
    <w:rsid w:val="008F03FA"/>
    <w:rsid w:val="00906D13"/>
    <w:rsid w:val="00912478"/>
    <w:rsid w:val="00915CE3"/>
    <w:rsid w:val="00925A25"/>
    <w:rsid w:val="00933EE8"/>
    <w:rsid w:val="009367F0"/>
    <w:rsid w:val="009408A6"/>
    <w:rsid w:val="00944C86"/>
    <w:rsid w:val="0095591B"/>
    <w:rsid w:val="00961647"/>
    <w:rsid w:val="00963A6C"/>
    <w:rsid w:val="00964E2C"/>
    <w:rsid w:val="00980A09"/>
    <w:rsid w:val="009A0CFB"/>
    <w:rsid w:val="009B1A9A"/>
    <w:rsid w:val="009C0FE3"/>
    <w:rsid w:val="009C4DEE"/>
    <w:rsid w:val="009D4657"/>
    <w:rsid w:val="009E415B"/>
    <w:rsid w:val="009E61BC"/>
    <w:rsid w:val="009F6070"/>
    <w:rsid w:val="009F6D4B"/>
    <w:rsid w:val="009F7723"/>
    <w:rsid w:val="00A03329"/>
    <w:rsid w:val="00A05ED3"/>
    <w:rsid w:val="00A13869"/>
    <w:rsid w:val="00A13BF9"/>
    <w:rsid w:val="00A150DA"/>
    <w:rsid w:val="00A166F0"/>
    <w:rsid w:val="00A37A47"/>
    <w:rsid w:val="00A4769E"/>
    <w:rsid w:val="00A83DE4"/>
    <w:rsid w:val="00A86299"/>
    <w:rsid w:val="00A86B6A"/>
    <w:rsid w:val="00A91190"/>
    <w:rsid w:val="00A93E4C"/>
    <w:rsid w:val="00A942F0"/>
    <w:rsid w:val="00A95E8D"/>
    <w:rsid w:val="00AA2CFB"/>
    <w:rsid w:val="00AA2DDB"/>
    <w:rsid w:val="00AA74AE"/>
    <w:rsid w:val="00AE6092"/>
    <w:rsid w:val="00B02817"/>
    <w:rsid w:val="00B04A77"/>
    <w:rsid w:val="00B04D9C"/>
    <w:rsid w:val="00B22D04"/>
    <w:rsid w:val="00B246D3"/>
    <w:rsid w:val="00B32E97"/>
    <w:rsid w:val="00B530CE"/>
    <w:rsid w:val="00B53404"/>
    <w:rsid w:val="00B5511D"/>
    <w:rsid w:val="00B66073"/>
    <w:rsid w:val="00B70892"/>
    <w:rsid w:val="00B70A20"/>
    <w:rsid w:val="00B84830"/>
    <w:rsid w:val="00B97788"/>
    <w:rsid w:val="00BC229D"/>
    <w:rsid w:val="00BC62B7"/>
    <w:rsid w:val="00BD536D"/>
    <w:rsid w:val="00BD6A07"/>
    <w:rsid w:val="00BE0A34"/>
    <w:rsid w:val="00BE3392"/>
    <w:rsid w:val="00BF21C5"/>
    <w:rsid w:val="00C028C2"/>
    <w:rsid w:val="00C16BB5"/>
    <w:rsid w:val="00C17125"/>
    <w:rsid w:val="00C221D3"/>
    <w:rsid w:val="00C42F34"/>
    <w:rsid w:val="00C447F7"/>
    <w:rsid w:val="00C4562D"/>
    <w:rsid w:val="00C52E69"/>
    <w:rsid w:val="00C573B2"/>
    <w:rsid w:val="00C6487E"/>
    <w:rsid w:val="00C764F3"/>
    <w:rsid w:val="00C91A58"/>
    <w:rsid w:val="00CA128D"/>
    <w:rsid w:val="00CD62D7"/>
    <w:rsid w:val="00CD78EB"/>
    <w:rsid w:val="00CF2D28"/>
    <w:rsid w:val="00CF44D5"/>
    <w:rsid w:val="00D14B69"/>
    <w:rsid w:val="00D33388"/>
    <w:rsid w:val="00D358D9"/>
    <w:rsid w:val="00D35FE1"/>
    <w:rsid w:val="00D434A9"/>
    <w:rsid w:val="00D45D98"/>
    <w:rsid w:val="00D57C16"/>
    <w:rsid w:val="00D57CB8"/>
    <w:rsid w:val="00D75A03"/>
    <w:rsid w:val="00D857AE"/>
    <w:rsid w:val="00D85ED9"/>
    <w:rsid w:val="00D8773A"/>
    <w:rsid w:val="00DA0DE2"/>
    <w:rsid w:val="00DA58F3"/>
    <w:rsid w:val="00DA775C"/>
    <w:rsid w:val="00DB5002"/>
    <w:rsid w:val="00DC566C"/>
    <w:rsid w:val="00DE4479"/>
    <w:rsid w:val="00DF5D7B"/>
    <w:rsid w:val="00E038BA"/>
    <w:rsid w:val="00E046E4"/>
    <w:rsid w:val="00E061BC"/>
    <w:rsid w:val="00E32387"/>
    <w:rsid w:val="00E36F4C"/>
    <w:rsid w:val="00E41ECD"/>
    <w:rsid w:val="00E441FF"/>
    <w:rsid w:val="00E53E57"/>
    <w:rsid w:val="00E544AA"/>
    <w:rsid w:val="00E72DE6"/>
    <w:rsid w:val="00EB7CDC"/>
    <w:rsid w:val="00EC03F0"/>
    <w:rsid w:val="00EC48A1"/>
    <w:rsid w:val="00EC78FA"/>
    <w:rsid w:val="00ED16BB"/>
    <w:rsid w:val="00ED1C97"/>
    <w:rsid w:val="00ED20B3"/>
    <w:rsid w:val="00ED5AC2"/>
    <w:rsid w:val="00EE05EB"/>
    <w:rsid w:val="00EF428F"/>
    <w:rsid w:val="00F06AE6"/>
    <w:rsid w:val="00F245C3"/>
    <w:rsid w:val="00F31B74"/>
    <w:rsid w:val="00F33393"/>
    <w:rsid w:val="00F36C67"/>
    <w:rsid w:val="00F43811"/>
    <w:rsid w:val="00F62249"/>
    <w:rsid w:val="00F63F4D"/>
    <w:rsid w:val="00F80002"/>
    <w:rsid w:val="00F83962"/>
    <w:rsid w:val="00F8777A"/>
    <w:rsid w:val="00F92AF2"/>
    <w:rsid w:val="00F94680"/>
    <w:rsid w:val="00F96ABB"/>
    <w:rsid w:val="00FA02B8"/>
    <w:rsid w:val="00FA321B"/>
    <w:rsid w:val="00FC4092"/>
    <w:rsid w:val="00FC5928"/>
    <w:rsid w:val="00FD5A6A"/>
    <w:rsid w:val="00FD62A1"/>
    <w:rsid w:val="00FE1647"/>
    <w:rsid w:val="00FE6F9D"/>
    <w:rsid w:val="00FF25EA"/>
    <w:rsid w:val="00FF7407"/>
    <w:rsid w:val="00FF7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chartTrackingRefBased/>
  <w15:docId w15:val="{6A47CA0F-4B13-4B5B-807D-BD634A9E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b/>
      <w:szCs w:val="20"/>
      <w:u w:val="single"/>
      <w:lang w:val="fr-FR"/>
    </w:rPr>
  </w:style>
  <w:style w:type="paragraph" w:styleId="Heading3">
    <w:name w:val="heading 3"/>
    <w:basedOn w:val="Normal"/>
    <w:next w:val="Normal"/>
    <w:qFormat/>
    <w:pPr>
      <w:keepNext/>
      <w:jc w:val="both"/>
      <w:outlineLvl w:val="2"/>
    </w:pPr>
    <w:rPr>
      <w:szCs w:val="20"/>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rFonts w:ascii="Times" w:hAnsi="Times"/>
      <w:sz w:val="24"/>
    </w:rPr>
  </w:style>
  <w:style w:type="paragraph" w:styleId="BodyText">
    <w:name w:val="Body Text"/>
    <w:basedOn w:val="Normal"/>
    <w:semiHidden/>
    <w:pPr>
      <w:jc w:val="both"/>
    </w:pPr>
    <w:rPr>
      <w:szCs w:val="20"/>
      <w:lang w:val="fr-FR"/>
    </w:rPr>
  </w:style>
  <w:style w:type="paragraph" w:styleId="BodyText2">
    <w:name w:val="Body Text 2"/>
    <w:basedOn w:val="Normal"/>
    <w:semiHidden/>
    <w:pPr>
      <w:jc w:val="center"/>
    </w:pPr>
    <w:rPr>
      <w:i/>
      <w:iCs/>
      <w:sz w:val="22"/>
      <w:lang w:val="fr-FR"/>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3">
    <w:name w:val="Body Text 3"/>
    <w:basedOn w:val="Normal"/>
    <w:semiHidden/>
    <w:pPr>
      <w:jc w:val="center"/>
    </w:pPr>
    <w:rPr>
      <w:b/>
      <w:bCs/>
      <w:lang w:val="nl-NL"/>
    </w:rPr>
  </w:style>
  <w:style w:type="character" w:customStyle="1" w:styleId="FooterChar">
    <w:name w:val="Footer Char"/>
    <w:link w:val="Footer"/>
    <w:uiPriority w:val="99"/>
    <w:rsid w:val="00BE0A34"/>
    <w:rPr>
      <w:sz w:val="24"/>
      <w:szCs w:val="24"/>
      <w:lang w:val="en-GB" w:eastAsia="en-US"/>
    </w:rPr>
  </w:style>
  <w:style w:type="paragraph" w:styleId="ListParagraph">
    <w:name w:val="List Paragraph"/>
    <w:basedOn w:val="Normal"/>
    <w:uiPriority w:val="34"/>
    <w:qFormat/>
    <w:rsid w:val="00741503"/>
    <w:pPr>
      <w:ind w:left="720"/>
      <w:contextualSpacing/>
    </w:pPr>
  </w:style>
  <w:style w:type="paragraph" w:styleId="BalloonText">
    <w:name w:val="Balloon Text"/>
    <w:basedOn w:val="Normal"/>
    <w:link w:val="BalloonTextChar"/>
    <w:uiPriority w:val="99"/>
    <w:semiHidden/>
    <w:unhideWhenUsed/>
    <w:rsid w:val="00FE16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647"/>
    <w:rPr>
      <w:rFonts w:ascii="Segoe UI" w:hAnsi="Segoe UI" w:cs="Segoe UI"/>
      <w:sz w:val="18"/>
      <w:szCs w:val="18"/>
      <w:lang w:val="en-GB"/>
    </w:rPr>
  </w:style>
  <w:style w:type="table" w:styleId="TableGrid">
    <w:name w:val="Table Grid"/>
    <w:basedOn w:val="TableNormal"/>
    <w:uiPriority w:val="59"/>
    <w:rsid w:val="00DA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26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5284EB-74D6-45C6-9344-10C5D6EE2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1290</Words>
  <Characters>6856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NATIONALE KAMER VAN NOTARISSEN</vt:lpstr>
    </vt:vector>
  </TitlesOfParts>
  <Company>FRNB</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NATIONALE KAMER VAN NOTARISSEN</dc:title>
  <dc:subject/>
  <dc:creator>Dorien Verwimp</dc:creator>
  <cp:keywords/>
  <dc:description/>
  <cp:lastModifiedBy>Lore Halbardier</cp:lastModifiedBy>
  <cp:revision>2</cp:revision>
  <cp:lastPrinted>2018-12-21T13:14:00Z</cp:lastPrinted>
  <dcterms:created xsi:type="dcterms:W3CDTF">2019-07-29T12:57:00Z</dcterms:created>
  <dcterms:modified xsi:type="dcterms:W3CDTF">2019-07-29T12:57:00Z</dcterms:modified>
</cp:coreProperties>
</file>