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426B" w14:textId="508F1C4E" w:rsidR="007E3B81" w:rsidRPr="00144268" w:rsidRDefault="00DD060F" w:rsidP="00DD060F">
      <w:pPr>
        <w:jc w:val="center"/>
        <w:rPr>
          <w:b/>
          <w:sz w:val="32"/>
          <w:szCs w:val="32"/>
          <w:lang w:val="fr-BE"/>
        </w:rPr>
      </w:pPr>
      <w:r w:rsidRPr="00144268">
        <w:rPr>
          <w:b/>
          <w:sz w:val="32"/>
          <w:szCs w:val="32"/>
          <w:lang w:val="fr-BE"/>
        </w:rPr>
        <w:t>La suppression du « </w:t>
      </w:r>
      <w:proofErr w:type="spellStart"/>
      <w:r w:rsidRPr="00144268">
        <w:rPr>
          <w:b/>
          <w:sz w:val="32"/>
          <w:szCs w:val="32"/>
          <w:lang w:val="fr-BE"/>
        </w:rPr>
        <w:t>woonbonus</w:t>
      </w:r>
      <w:proofErr w:type="spellEnd"/>
      <w:r w:rsidRPr="00144268">
        <w:rPr>
          <w:b/>
          <w:sz w:val="32"/>
          <w:szCs w:val="32"/>
          <w:lang w:val="fr-BE"/>
        </w:rPr>
        <w:t xml:space="preserve"> » en Flandre entraine une forte augmentation du nombre de </w:t>
      </w:r>
      <w:r w:rsidR="003313CF" w:rsidRPr="00144268">
        <w:rPr>
          <w:b/>
          <w:sz w:val="32"/>
          <w:szCs w:val="32"/>
          <w:lang w:val="fr-BE"/>
        </w:rPr>
        <w:t>dossiers immobi</w:t>
      </w:r>
      <w:r w:rsidR="00144268" w:rsidRPr="00144268">
        <w:rPr>
          <w:b/>
          <w:sz w:val="32"/>
          <w:szCs w:val="32"/>
          <w:lang w:val="fr-BE"/>
        </w:rPr>
        <w:t xml:space="preserve">liers chez les notaires </w:t>
      </w:r>
    </w:p>
    <w:p w14:paraId="42F53D60" w14:textId="48155618" w:rsidR="00692339" w:rsidRPr="00692339" w:rsidRDefault="00692339" w:rsidP="00DD060F">
      <w:pPr>
        <w:pBdr>
          <w:bottom w:val="single" w:sz="4" w:space="1" w:color="auto"/>
        </w:pBdr>
        <w:rPr>
          <w:b/>
          <w:sz w:val="40"/>
          <w:lang w:val="fr-BE"/>
        </w:rPr>
      </w:pPr>
    </w:p>
    <w:p w14:paraId="068467ED" w14:textId="30540AA7" w:rsidR="00DD060F" w:rsidRPr="00DD060F" w:rsidRDefault="00692339" w:rsidP="00DD060F">
      <w:pPr>
        <w:rPr>
          <w:b/>
          <w:sz w:val="24"/>
          <w:szCs w:val="24"/>
          <w:lang w:val="fr-BE"/>
        </w:rPr>
      </w:pPr>
      <w:r>
        <w:rPr>
          <w:b/>
          <w:lang w:val="fr-BE"/>
        </w:rPr>
        <w:br/>
      </w:r>
      <w:bookmarkStart w:id="0" w:name="_GoBack"/>
      <w:r w:rsidR="00DD060F" w:rsidRPr="00DD060F">
        <w:rPr>
          <w:b/>
          <w:sz w:val="24"/>
          <w:szCs w:val="24"/>
          <w:lang w:val="fr-BE"/>
        </w:rPr>
        <w:t xml:space="preserve">Après l’annonce par le gouvernement flamand de la suppression du </w:t>
      </w:r>
      <w:proofErr w:type="spellStart"/>
      <w:r w:rsidR="00DD060F" w:rsidRPr="00DD060F">
        <w:rPr>
          <w:b/>
          <w:sz w:val="24"/>
          <w:szCs w:val="24"/>
          <w:lang w:val="fr-BE"/>
        </w:rPr>
        <w:t>woonbonus</w:t>
      </w:r>
      <w:proofErr w:type="spellEnd"/>
      <w:r w:rsidR="00DD060F" w:rsidRPr="00DD060F">
        <w:rPr>
          <w:b/>
          <w:sz w:val="24"/>
          <w:szCs w:val="24"/>
          <w:lang w:val="fr-BE"/>
        </w:rPr>
        <w:t xml:space="preserve"> en Flandre, le nombre de </w:t>
      </w:r>
      <w:r w:rsidR="003313CF">
        <w:rPr>
          <w:b/>
          <w:sz w:val="24"/>
          <w:szCs w:val="24"/>
          <w:lang w:val="fr-BE"/>
        </w:rPr>
        <w:t xml:space="preserve">dossiers immobiliers ouverts chez les notaires </w:t>
      </w:r>
      <w:r w:rsidR="00DD060F" w:rsidRPr="00DD060F">
        <w:rPr>
          <w:b/>
          <w:sz w:val="24"/>
          <w:szCs w:val="24"/>
          <w:lang w:val="fr-BE"/>
        </w:rPr>
        <w:t>augmente fortement</w:t>
      </w:r>
      <w:r w:rsidR="00144268">
        <w:rPr>
          <w:b/>
          <w:sz w:val="24"/>
          <w:szCs w:val="24"/>
          <w:lang w:val="fr-BE"/>
        </w:rPr>
        <w:t xml:space="preserve"> en Flandre</w:t>
      </w:r>
      <w:r w:rsidR="00DD060F" w:rsidRPr="00DD060F">
        <w:rPr>
          <w:b/>
          <w:sz w:val="24"/>
          <w:szCs w:val="24"/>
          <w:lang w:val="fr-BE"/>
        </w:rPr>
        <w:t xml:space="preserve">. En comparaison avec la même </w:t>
      </w:r>
      <w:r w:rsidR="003313CF">
        <w:rPr>
          <w:b/>
          <w:sz w:val="24"/>
          <w:szCs w:val="24"/>
          <w:lang w:val="fr-BE"/>
        </w:rPr>
        <w:t>périod</w:t>
      </w:r>
      <w:r w:rsidR="00DD060F" w:rsidRPr="00DD060F">
        <w:rPr>
          <w:b/>
          <w:sz w:val="24"/>
          <w:szCs w:val="24"/>
          <w:lang w:val="fr-BE"/>
        </w:rPr>
        <w:t>e l’an dernier, le nom</w:t>
      </w:r>
      <w:r w:rsidR="003313CF">
        <w:rPr>
          <w:b/>
          <w:sz w:val="24"/>
          <w:szCs w:val="24"/>
          <w:lang w:val="fr-BE"/>
        </w:rPr>
        <w:t>bre de dossiers immobiliers a augmenté de 4</w:t>
      </w:r>
      <w:r w:rsidR="00DD060F" w:rsidRPr="00DD060F">
        <w:rPr>
          <w:b/>
          <w:sz w:val="24"/>
          <w:szCs w:val="24"/>
          <w:lang w:val="fr-BE"/>
        </w:rPr>
        <w:t>0%. C’est ce qui ressort des chiffres de la Fédération du Notariat.</w:t>
      </w:r>
    </w:p>
    <w:p w14:paraId="1275E85F" w14:textId="77777777" w:rsidR="00DD060F" w:rsidRDefault="00DD060F" w:rsidP="00DD060F">
      <w:pPr>
        <w:rPr>
          <w:rFonts w:asciiTheme="minorHAnsi" w:hAnsiTheme="minorHAnsi" w:cstheme="minorBidi"/>
          <w:lang w:val="fr-BE"/>
        </w:rPr>
      </w:pPr>
    </w:p>
    <w:p w14:paraId="36E48946" w14:textId="4DF61CA0" w:rsidR="00DD060F" w:rsidRDefault="00DD060F" w:rsidP="00DD060F">
      <w:pPr>
        <w:rPr>
          <w:sz w:val="24"/>
          <w:szCs w:val="24"/>
          <w:lang w:val="fr-BE"/>
        </w:rPr>
      </w:pPr>
      <w:r w:rsidRPr="00DD060F">
        <w:rPr>
          <w:sz w:val="24"/>
          <w:szCs w:val="24"/>
          <w:lang w:val="fr-BE"/>
        </w:rPr>
        <w:t>La Fédération du Notariat (Fednot) compile</w:t>
      </w:r>
      <w:r w:rsidR="003313CF">
        <w:rPr>
          <w:sz w:val="24"/>
          <w:szCs w:val="24"/>
          <w:lang w:val="fr-BE"/>
        </w:rPr>
        <w:t xml:space="preserve"> chaque jour</w:t>
      </w:r>
      <w:r w:rsidRPr="00DD060F">
        <w:rPr>
          <w:sz w:val="24"/>
          <w:szCs w:val="24"/>
          <w:lang w:val="fr-BE"/>
        </w:rPr>
        <w:t xml:space="preserve"> le nombre </w:t>
      </w:r>
      <w:r w:rsidR="003313CF">
        <w:rPr>
          <w:sz w:val="24"/>
          <w:szCs w:val="24"/>
          <w:lang w:val="fr-BE"/>
        </w:rPr>
        <w:t>de dossiers immobiliers ouverts par les notaires</w:t>
      </w:r>
      <w:r w:rsidRPr="00DD060F">
        <w:rPr>
          <w:sz w:val="24"/>
          <w:szCs w:val="24"/>
          <w:lang w:val="fr-BE"/>
        </w:rPr>
        <w:t xml:space="preserve">. D’après nos chiffres, l’annonce de la suppression du </w:t>
      </w:r>
      <w:proofErr w:type="spellStart"/>
      <w:r w:rsidRPr="00DD060F">
        <w:rPr>
          <w:sz w:val="24"/>
          <w:szCs w:val="24"/>
          <w:lang w:val="fr-BE"/>
        </w:rPr>
        <w:t>woonbonus</w:t>
      </w:r>
      <w:proofErr w:type="spellEnd"/>
      <w:r w:rsidRPr="00DD060F">
        <w:rPr>
          <w:sz w:val="24"/>
          <w:szCs w:val="24"/>
          <w:lang w:val="fr-BE"/>
        </w:rPr>
        <w:t xml:space="preserve"> en Flandre conduit à un rush sur l’immobilier en région flamande.</w:t>
      </w:r>
    </w:p>
    <w:p w14:paraId="1667B58D" w14:textId="77777777" w:rsidR="00DD060F" w:rsidRPr="00DD060F" w:rsidRDefault="00DD060F" w:rsidP="00DD060F">
      <w:pPr>
        <w:rPr>
          <w:sz w:val="24"/>
          <w:szCs w:val="24"/>
          <w:lang w:val="fr-BE"/>
        </w:rPr>
      </w:pPr>
    </w:p>
    <w:p w14:paraId="787321E3" w14:textId="230809D1" w:rsidR="00DD060F" w:rsidRDefault="003313CF" w:rsidP="00DD060F">
      <w:pPr>
        <w:rPr>
          <w:sz w:val="24"/>
          <w:szCs w:val="24"/>
          <w:lang w:val="fr-BE"/>
        </w:rPr>
      </w:pPr>
      <w:r>
        <w:rPr>
          <w:sz w:val="24"/>
          <w:szCs w:val="24"/>
          <w:lang w:val="fr-BE"/>
        </w:rPr>
        <w:t xml:space="preserve">Entre le 30 septembre et le 9 octobre </w:t>
      </w:r>
      <w:r w:rsidR="00BF1EEC">
        <w:rPr>
          <w:sz w:val="24"/>
          <w:szCs w:val="24"/>
          <w:lang w:val="fr-BE"/>
        </w:rPr>
        <w:t>, 9.925</w:t>
      </w:r>
      <w:r w:rsidR="00DD060F" w:rsidRPr="00DD060F">
        <w:rPr>
          <w:sz w:val="24"/>
          <w:szCs w:val="24"/>
          <w:lang w:val="fr-BE"/>
        </w:rPr>
        <w:t xml:space="preserve"> </w:t>
      </w:r>
      <w:r w:rsidR="00BF1EEC">
        <w:rPr>
          <w:sz w:val="24"/>
          <w:szCs w:val="24"/>
          <w:lang w:val="fr-BE"/>
        </w:rPr>
        <w:t>dossiers ont été ouverts</w:t>
      </w:r>
      <w:r w:rsidR="00DD060F" w:rsidRPr="00DD060F">
        <w:rPr>
          <w:sz w:val="24"/>
          <w:szCs w:val="24"/>
          <w:lang w:val="fr-BE"/>
        </w:rPr>
        <w:t xml:space="preserve">. Cela </w:t>
      </w:r>
      <w:r w:rsidR="00BF1EEC">
        <w:rPr>
          <w:sz w:val="24"/>
          <w:szCs w:val="24"/>
          <w:lang w:val="fr-BE"/>
        </w:rPr>
        <w:t>représente une augmentation de 40,5</w:t>
      </w:r>
      <w:r w:rsidR="00DD060F" w:rsidRPr="00DD060F">
        <w:rPr>
          <w:sz w:val="24"/>
          <w:szCs w:val="24"/>
          <w:lang w:val="fr-BE"/>
        </w:rPr>
        <w:t>% par rapport à la même période l’an dernier.</w:t>
      </w:r>
    </w:p>
    <w:p w14:paraId="2FB57D2A" w14:textId="77777777" w:rsidR="00DD060F" w:rsidRPr="00DD060F" w:rsidRDefault="00DD060F" w:rsidP="00DD060F">
      <w:pPr>
        <w:rPr>
          <w:sz w:val="24"/>
          <w:szCs w:val="24"/>
          <w:lang w:val="fr-BE"/>
        </w:rPr>
      </w:pPr>
    </w:p>
    <w:p w14:paraId="73E7EB09" w14:textId="29B878D1" w:rsidR="00DD060F" w:rsidRDefault="00144268" w:rsidP="00DD060F">
      <w:pPr>
        <w:rPr>
          <w:sz w:val="24"/>
          <w:szCs w:val="24"/>
          <w:lang w:val="fr-BE"/>
        </w:rPr>
      </w:pPr>
      <w:r>
        <w:rPr>
          <w:sz w:val="24"/>
          <w:szCs w:val="24"/>
          <w:lang w:val="fr-BE"/>
        </w:rPr>
        <w:t>Pour rappel, s</w:t>
      </w:r>
      <w:r w:rsidR="00DD060F" w:rsidRPr="00DD060F">
        <w:rPr>
          <w:sz w:val="24"/>
          <w:szCs w:val="24"/>
          <w:lang w:val="fr-BE"/>
        </w:rPr>
        <w:t xml:space="preserve">i les acheteurs veulent encore profiter du </w:t>
      </w:r>
      <w:proofErr w:type="spellStart"/>
      <w:r w:rsidR="00DD060F" w:rsidRPr="00DD060F">
        <w:rPr>
          <w:sz w:val="24"/>
          <w:szCs w:val="24"/>
          <w:lang w:val="fr-BE"/>
        </w:rPr>
        <w:t>woonbonus</w:t>
      </w:r>
      <w:proofErr w:type="spellEnd"/>
      <w:r w:rsidR="00DD060F" w:rsidRPr="00DD060F">
        <w:rPr>
          <w:sz w:val="24"/>
          <w:szCs w:val="24"/>
          <w:lang w:val="fr-BE"/>
        </w:rPr>
        <w:t xml:space="preserve"> en Flandre, leur acte de crédit doit être signé chez le notaire avant le 31 décembre 2019. La signature de l’acte de crédit se passe la plupart du temps lors de la signature de l’acte authentique de vente.</w:t>
      </w:r>
    </w:p>
    <w:p w14:paraId="7DB5AD7A" w14:textId="77777777" w:rsidR="00DD060F" w:rsidRPr="00DD060F" w:rsidRDefault="00DD060F" w:rsidP="00DD060F">
      <w:pPr>
        <w:rPr>
          <w:sz w:val="24"/>
          <w:szCs w:val="24"/>
          <w:lang w:val="fr-BE"/>
        </w:rPr>
      </w:pPr>
    </w:p>
    <w:p w14:paraId="2330B5ED" w14:textId="3DCD1130" w:rsidR="00DD060F" w:rsidRDefault="00DD060F" w:rsidP="00DD060F">
      <w:pPr>
        <w:rPr>
          <w:sz w:val="24"/>
          <w:szCs w:val="24"/>
          <w:lang w:val="fr-BE"/>
        </w:rPr>
      </w:pPr>
      <w:r w:rsidRPr="00DD060F">
        <w:rPr>
          <w:sz w:val="24"/>
          <w:szCs w:val="24"/>
          <w:lang w:val="fr-BE"/>
        </w:rPr>
        <w:t>Les notaires font tous les efforts possibles pour pouvoir régler le plus grand nombre d’actes de vente avant la fin de cette année. « Si vous vous demandez s’il est encore possible de régler votre dossier cette année, vous devez contacter votre notaire », explique Bart van Opstal, porte-parole néerlandophone de notaire.be.</w:t>
      </w:r>
    </w:p>
    <w:p w14:paraId="7F193F9E" w14:textId="77777777" w:rsidR="00DD060F" w:rsidRPr="00DD060F" w:rsidRDefault="00DD060F" w:rsidP="00DD060F">
      <w:pPr>
        <w:rPr>
          <w:sz w:val="24"/>
          <w:szCs w:val="24"/>
          <w:lang w:val="fr-BE"/>
        </w:rPr>
      </w:pPr>
    </w:p>
    <w:p w14:paraId="22CDC24A" w14:textId="561BB0E7" w:rsidR="004C3861" w:rsidRPr="002E7957" w:rsidRDefault="00DD060F" w:rsidP="00DD060F">
      <w:pPr>
        <w:rPr>
          <w:sz w:val="24"/>
          <w:szCs w:val="24"/>
          <w:lang w:val="fr-BE"/>
        </w:rPr>
      </w:pPr>
      <w:r w:rsidRPr="00DD060F">
        <w:rPr>
          <w:sz w:val="24"/>
          <w:szCs w:val="24"/>
          <w:lang w:val="fr-BE"/>
        </w:rPr>
        <w:t>Pour rappel, le « </w:t>
      </w:r>
      <w:proofErr w:type="spellStart"/>
      <w:r w:rsidRPr="00DD060F">
        <w:rPr>
          <w:sz w:val="24"/>
          <w:szCs w:val="24"/>
          <w:lang w:val="fr-BE"/>
        </w:rPr>
        <w:t>woonbonus</w:t>
      </w:r>
      <w:proofErr w:type="spellEnd"/>
      <w:r w:rsidRPr="00DD060F">
        <w:rPr>
          <w:sz w:val="24"/>
          <w:szCs w:val="24"/>
          <w:lang w:val="fr-BE"/>
        </w:rPr>
        <w:t> » (ou « bonus logement) a été supprimé depuis le 1</w:t>
      </w:r>
      <w:r w:rsidRPr="00DD060F">
        <w:rPr>
          <w:sz w:val="24"/>
          <w:szCs w:val="24"/>
          <w:vertAlign w:val="superscript"/>
          <w:lang w:val="fr-BE"/>
        </w:rPr>
        <w:t>er</w:t>
      </w:r>
      <w:r w:rsidRPr="00DD060F">
        <w:rPr>
          <w:sz w:val="24"/>
          <w:szCs w:val="24"/>
          <w:lang w:val="fr-BE"/>
        </w:rPr>
        <w:t xml:space="preserve"> janvier 2017 à Bruxelles, et remplacé en Wallonie par un chèque habitat depuis le 1</w:t>
      </w:r>
      <w:r w:rsidRPr="00DD060F">
        <w:rPr>
          <w:sz w:val="24"/>
          <w:szCs w:val="24"/>
          <w:vertAlign w:val="superscript"/>
          <w:lang w:val="fr-BE"/>
        </w:rPr>
        <w:t>er</w:t>
      </w:r>
      <w:r w:rsidRPr="00DD060F">
        <w:rPr>
          <w:sz w:val="24"/>
          <w:szCs w:val="24"/>
          <w:lang w:val="fr-BE"/>
        </w:rPr>
        <w:t xml:space="preserve"> janvier 2016.</w:t>
      </w:r>
    </w:p>
    <w:bookmarkEnd w:id="0"/>
    <w:p w14:paraId="43566191" w14:textId="0DE6C9B1" w:rsidR="00126B57" w:rsidRDefault="00126B57" w:rsidP="007E3B81">
      <w:pPr>
        <w:rPr>
          <w:lang w:val="fr-BE"/>
        </w:rPr>
      </w:pPr>
    </w:p>
    <w:p w14:paraId="5AF09BD8" w14:textId="0DB38586" w:rsidR="00201E3D" w:rsidRDefault="00EE1DDD" w:rsidP="00453449">
      <w:pPr>
        <w:tabs>
          <w:tab w:val="left" w:pos="192"/>
          <w:tab w:val="center" w:pos="4513"/>
        </w:tabs>
        <w:rPr>
          <w:color w:val="222222"/>
          <w:lang w:val="fr-FR"/>
        </w:rPr>
      </w:pPr>
      <w:r>
        <w:rPr>
          <w:color w:val="222222"/>
          <w:lang w:val="fr-FR"/>
        </w:rPr>
        <w:t>------------------------------------------------------------------------------------------------------------------------------------------</w:t>
      </w:r>
    </w:p>
    <w:p w14:paraId="133AC519" w14:textId="77777777" w:rsidR="00453449" w:rsidRPr="00F072F4" w:rsidRDefault="00453449" w:rsidP="00453449">
      <w:pPr>
        <w:tabs>
          <w:tab w:val="left" w:pos="192"/>
          <w:tab w:val="center" w:pos="4513"/>
        </w:tabs>
        <w:rPr>
          <w:rFonts w:ascii="Verdana" w:hAnsi="Verdana"/>
          <w:b/>
          <w:sz w:val="12"/>
          <w:szCs w:val="16"/>
          <w:lang w:val="fr-BE"/>
        </w:rPr>
      </w:pPr>
      <w:r w:rsidRPr="00F072F4">
        <w:rPr>
          <w:rFonts w:ascii="Verdana" w:hAnsi="Verdana"/>
          <w:b/>
          <w:sz w:val="12"/>
          <w:szCs w:val="16"/>
          <w:lang w:val="fr-BE"/>
        </w:rPr>
        <w:t xml:space="preserve">À propos du notariat en Belgique </w:t>
      </w:r>
      <w:r w:rsidRPr="00F072F4">
        <w:rPr>
          <w:rFonts w:ascii="Verdana" w:hAnsi="Verdana"/>
          <w:b/>
          <w:sz w:val="12"/>
          <w:szCs w:val="16"/>
          <w:lang w:val="fr-BE"/>
        </w:rPr>
        <w:br/>
      </w:r>
      <w:r w:rsidRPr="00F072F4">
        <w:rPr>
          <w:rFonts w:ascii="Verdana" w:hAnsi="Verdana"/>
          <w:sz w:val="12"/>
          <w:szCs w:val="16"/>
          <w:lang w:val="fr-BE"/>
        </w:rPr>
        <w:t xml:space="preserve">Chaque année, 2,5 millions de clients franchissent la porte d’une étude notariale lors de moments-clés de leur vie. Ils y reçoivent des conseils indépendants sur mesure qui leur permettent de réaliser en toute confiance des projets tels que cohabiter, vendre une habitation, créer une société ou planifier une succession. Rendez-vous sur le site </w:t>
      </w:r>
      <w:hyperlink r:id="rId8" w:history="1">
        <w:r w:rsidRPr="00F072F4">
          <w:rPr>
            <w:rStyle w:val="Hyperlink"/>
            <w:rFonts w:ascii="Verdana" w:hAnsi="Verdana"/>
            <w:sz w:val="12"/>
            <w:szCs w:val="16"/>
            <w:lang w:val="fr-BE"/>
          </w:rPr>
          <w:t>www.notaire.be</w:t>
        </w:r>
      </w:hyperlink>
      <w:r w:rsidRPr="00F072F4">
        <w:rPr>
          <w:rFonts w:ascii="Verdana" w:hAnsi="Verdana"/>
          <w:sz w:val="12"/>
          <w:szCs w:val="16"/>
          <w:lang w:val="fr-BE"/>
        </w:rPr>
        <w:t xml:space="preserve"> pour plus d’informations sur les moments clés de votre vie, des vidéos, des FAQ et des modules de calcul. </w:t>
      </w:r>
    </w:p>
    <w:p w14:paraId="50A814B7" w14:textId="77777777" w:rsidR="00453449" w:rsidRPr="00F072F4" w:rsidRDefault="00453449" w:rsidP="00453449">
      <w:pPr>
        <w:tabs>
          <w:tab w:val="left" w:pos="192"/>
          <w:tab w:val="center" w:pos="4513"/>
        </w:tabs>
        <w:rPr>
          <w:rFonts w:ascii="Verdana" w:hAnsi="Verdana"/>
          <w:b/>
          <w:sz w:val="12"/>
          <w:szCs w:val="16"/>
          <w:lang w:val="fr-BE"/>
        </w:rPr>
      </w:pPr>
      <w:r w:rsidRPr="00F072F4">
        <w:rPr>
          <w:rFonts w:ascii="Verdana" w:hAnsi="Verdana"/>
          <w:b/>
          <w:sz w:val="12"/>
          <w:szCs w:val="16"/>
          <w:lang w:val="fr-BE"/>
        </w:rPr>
        <w:br/>
        <w:t xml:space="preserve">À propos de Fednot </w:t>
      </w:r>
      <w:r w:rsidRPr="00F072F4">
        <w:rPr>
          <w:rFonts w:ascii="Verdana" w:hAnsi="Verdana"/>
          <w:b/>
          <w:sz w:val="12"/>
          <w:szCs w:val="16"/>
          <w:lang w:val="fr-BE"/>
        </w:rPr>
        <w:br/>
      </w:r>
      <w:r w:rsidRPr="00F072F4">
        <w:rPr>
          <w:rFonts w:ascii="Verdana" w:hAnsi="Verdana"/>
          <w:sz w:val="12"/>
          <w:szCs w:val="16"/>
          <w:lang w:val="fr-BE"/>
        </w:rPr>
        <w:t xml:space="preserve">Le réseau de 1.150 études réunit 1.550 notaires et 8.000 collaborateurs. Ensemble, ils traitent plus de 900.000 dossiers par an. Fednot soutient les études en matière d’avis juridiques, de management, de solutions informatiques, de formations et d’information vers le grand public. </w:t>
      </w:r>
      <w:r w:rsidR="005D6EBE" w:rsidRPr="00F072F4">
        <w:rPr>
          <w:sz w:val="20"/>
        </w:rPr>
        <w:fldChar w:fldCharType="begin"/>
      </w:r>
      <w:r w:rsidR="005D6EBE" w:rsidRPr="00F072F4">
        <w:rPr>
          <w:sz w:val="20"/>
        </w:rPr>
        <w:fldChar w:fldCharType="separate"/>
      </w:r>
      <w:r w:rsidRPr="00F072F4">
        <w:rPr>
          <w:rStyle w:val="Hyperlink"/>
          <w:rFonts w:ascii="Verdana" w:hAnsi="Verdana"/>
          <w:sz w:val="12"/>
          <w:szCs w:val="16"/>
          <w:lang w:val="fr-BE"/>
        </w:rPr>
        <w:t>www.fednot.be</w:t>
      </w:r>
      <w:r w:rsidR="005D6EBE" w:rsidRPr="00F072F4">
        <w:rPr>
          <w:rStyle w:val="Hyperlink"/>
          <w:rFonts w:ascii="Verdana" w:hAnsi="Verdana"/>
          <w:sz w:val="12"/>
          <w:szCs w:val="16"/>
          <w:lang w:val="fr-BE"/>
        </w:rPr>
        <w:fldChar w:fldCharType="end"/>
      </w:r>
      <w:r w:rsidR="00BA4F56" w:rsidRPr="00F072F4">
        <w:rPr>
          <w:rFonts w:ascii="Verdana" w:hAnsi="Verdana"/>
          <w:sz w:val="12"/>
          <w:szCs w:val="16"/>
          <w:lang w:val="fr-BE"/>
        </w:rPr>
        <w:t>www.Fednot.be</w:t>
      </w:r>
    </w:p>
    <w:p w14:paraId="4C0DA41D" w14:textId="1722E10B" w:rsidR="0073192A" w:rsidRPr="00F072F4" w:rsidRDefault="00793F4E" w:rsidP="0073192A">
      <w:pPr>
        <w:rPr>
          <w:sz w:val="20"/>
          <w:lang w:val="fr-BE"/>
        </w:rPr>
      </w:pPr>
      <w:r>
        <w:rPr>
          <w:sz w:val="20"/>
          <w:lang w:val="fr-BE"/>
        </w:rPr>
        <w:t>--------------------------------------------------------------------------------------------------------------------------------------------------------</w:t>
      </w:r>
    </w:p>
    <w:p w14:paraId="425DC3D4" w14:textId="68511584" w:rsidR="00CE06C8" w:rsidRPr="00F072F4" w:rsidRDefault="000E6520" w:rsidP="00CE06C8">
      <w:pPr>
        <w:rPr>
          <w:b/>
          <w:sz w:val="18"/>
          <w:lang w:val="fr-BE"/>
        </w:rPr>
      </w:pPr>
      <w:r>
        <w:rPr>
          <w:b/>
          <w:sz w:val="18"/>
          <w:lang w:val="fr-BE"/>
        </w:rPr>
        <w:t xml:space="preserve">Info presse : Tom </w:t>
      </w:r>
      <w:proofErr w:type="spellStart"/>
      <w:r>
        <w:rPr>
          <w:b/>
          <w:sz w:val="18"/>
          <w:lang w:val="fr-BE"/>
        </w:rPr>
        <w:t>Jenné</w:t>
      </w:r>
      <w:proofErr w:type="spellEnd"/>
    </w:p>
    <w:p w14:paraId="222E66F2" w14:textId="7A340227" w:rsidR="00CE06C8" w:rsidRPr="00F072F4" w:rsidRDefault="00CE06C8" w:rsidP="00CE06C8">
      <w:pPr>
        <w:rPr>
          <w:b/>
          <w:sz w:val="18"/>
          <w:lang w:val="fr-BE"/>
        </w:rPr>
      </w:pPr>
      <w:r w:rsidRPr="00F072F4">
        <w:rPr>
          <w:b/>
          <w:sz w:val="18"/>
          <w:lang w:val="fr-BE"/>
        </w:rPr>
        <w:t>Communication externe FR  Fednot / Notaire.be / Biddit.be</w:t>
      </w:r>
    </w:p>
    <w:p w14:paraId="69301DF7" w14:textId="48306AF3" w:rsidR="00CE06C8" w:rsidRPr="00F072F4" w:rsidRDefault="005D0895" w:rsidP="00CE06C8">
      <w:pPr>
        <w:rPr>
          <w:b/>
          <w:sz w:val="18"/>
          <w:lang w:val="fr-BE"/>
        </w:rPr>
      </w:pPr>
      <w:r>
        <w:rPr>
          <w:b/>
          <w:sz w:val="18"/>
          <w:lang w:val="fr-BE"/>
        </w:rPr>
        <w:t>02 801 1</w:t>
      </w:r>
      <w:r w:rsidR="000E6520">
        <w:rPr>
          <w:b/>
          <w:sz w:val="18"/>
          <w:lang w:val="fr-BE"/>
        </w:rPr>
        <w:t>5 36 – 0472 76 10 61</w:t>
      </w:r>
    </w:p>
    <w:p w14:paraId="75FA7494" w14:textId="62B23D9F" w:rsidR="00CE06C8" w:rsidRPr="00F072F4" w:rsidRDefault="0013388E" w:rsidP="00CE06C8">
      <w:pPr>
        <w:rPr>
          <w:b/>
          <w:sz w:val="18"/>
          <w:lang w:val="fr-BE"/>
        </w:rPr>
      </w:pPr>
      <w:hyperlink r:id="rId9" w:history="1">
        <w:r w:rsidR="000E6520" w:rsidRPr="00256AF1">
          <w:rPr>
            <w:rStyle w:val="Hyperlink"/>
            <w:b/>
            <w:sz w:val="18"/>
            <w:lang w:val="fr-BE"/>
          </w:rPr>
          <w:t>tom.jenne@fednot.be</w:t>
        </w:r>
      </w:hyperlink>
    </w:p>
    <w:p w14:paraId="24574887" w14:textId="77777777" w:rsidR="00E4375D" w:rsidRPr="00F072F4" w:rsidRDefault="0013388E" w:rsidP="00CE06C8">
      <w:pPr>
        <w:rPr>
          <w:sz w:val="20"/>
          <w:lang w:val="fr-BE"/>
        </w:rPr>
      </w:pPr>
      <w:hyperlink r:id="rId10" w:history="1">
        <w:r w:rsidR="00CE06C8" w:rsidRPr="00F072F4">
          <w:rPr>
            <w:rStyle w:val="Hyperlink"/>
            <w:b/>
            <w:sz w:val="18"/>
            <w:lang w:val="fr-BE"/>
          </w:rPr>
          <w:t>www.notaire.be</w:t>
        </w:r>
      </w:hyperlink>
      <w:r w:rsidR="00E4375D" w:rsidRPr="00F072F4">
        <w:rPr>
          <w:sz w:val="20"/>
          <w:lang w:val="fr-BE"/>
        </w:rPr>
        <w:tab/>
      </w:r>
    </w:p>
    <w:tbl>
      <w:tblPr>
        <w:tblStyle w:val="TableGrid"/>
        <w:tblW w:w="0" w:type="auto"/>
        <w:tblBorders>
          <w:top w:val="single" w:sz="8" w:space="0" w:color="7DA7BE"/>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5670"/>
      </w:tblGrid>
      <w:tr w:rsidR="00CE06C8" w:rsidRPr="003313CF" w14:paraId="0F4AC23E" w14:textId="77777777" w:rsidTr="00CE06C8">
        <w:tc>
          <w:tcPr>
            <w:tcW w:w="5670" w:type="dxa"/>
            <w:tcBorders>
              <w:top w:val="single" w:sz="8" w:space="0" w:color="7DA7BE"/>
              <w:left w:val="nil"/>
              <w:bottom w:val="nil"/>
              <w:right w:val="nil"/>
            </w:tcBorders>
            <w:hideMark/>
          </w:tcPr>
          <w:p w14:paraId="43863923" w14:textId="77777777" w:rsidR="00CE06C8" w:rsidRPr="00F072F4" w:rsidRDefault="00CE06C8">
            <w:pPr>
              <w:rPr>
                <w:rFonts w:ascii="Verdana" w:hAnsi="Verdana" w:cs="Calibri"/>
                <w:noProof/>
                <w:color w:val="808080"/>
                <w:sz w:val="14"/>
                <w:szCs w:val="16"/>
                <w:lang w:val="fr-BE"/>
              </w:rPr>
            </w:pPr>
          </w:p>
        </w:tc>
      </w:tr>
      <w:tr w:rsidR="00CE06C8" w:rsidRPr="00F072F4" w14:paraId="3540E0C2" w14:textId="77777777" w:rsidTr="00CE06C8">
        <w:tc>
          <w:tcPr>
            <w:tcW w:w="5670" w:type="dxa"/>
            <w:tcBorders>
              <w:top w:val="nil"/>
              <w:left w:val="nil"/>
              <w:bottom w:val="nil"/>
              <w:right w:val="nil"/>
            </w:tcBorders>
          </w:tcPr>
          <w:p w14:paraId="28BB51E1" w14:textId="169BC40D" w:rsidR="00CE06C8" w:rsidRPr="00793F4E" w:rsidRDefault="00CE06C8">
            <w:pPr>
              <w:rPr>
                <w:rFonts w:ascii="Verdana" w:eastAsia="Calibri" w:hAnsi="Verdana"/>
                <w:noProof/>
                <w:szCs w:val="24"/>
                <w:lang w:val="nl-NL"/>
              </w:rPr>
            </w:pPr>
            <w:r w:rsidRPr="00F072F4">
              <w:rPr>
                <w:rFonts w:ascii="Verdana" w:hAnsi="Verdana"/>
                <w:noProof/>
                <w:sz w:val="20"/>
              </w:rPr>
              <w:drawing>
                <wp:inline distT="0" distB="0" distL="0" distR="0" wp14:anchorId="04C31299" wp14:editId="4AAD23CA">
                  <wp:extent cx="708660" cy="213360"/>
                  <wp:effectExtent l="0" t="0" r="0" b="0"/>
                  <wp:docPr id="8" name="Imag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213360"/>
                          </a:xfrm>
                          <a:prstGeom prst="rect">
                            <a:avLst/>
                          </a:prstGeom>
                          <a:noFill/>
                          <a:ln>
                            <a:noFill/>
                          </a:ln>
                        </pic:spPr>
                      </pic:pic>
                    </a:graphicData>
                  </a:graphic>
                </wp:inline>
              </w:drawing>
            </w:r>
            <w:r w:rsidRPr="00F072F4">
              <w:rPr>
                <w:rFonts w:ascii="Verdana" w:hAnsi="Verdana"/>
                <w:noProof/>
                <w:sz w:val="20"/>
              </w:rPr>
              <w:drawing>
                <wp:inline distT="0" distB="0" distL="0" distR="0" wp14:anchorId="6F42DCAA" wp14:editId="73184F41">
                  <wp:extent cx="243840" cy="213360"/>
                  <wp:effectExtent l="0" t="0" r="3810" b="0"/>
                  <wp:docPr id="7" name="Imag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F072F4">
              <w:rPr>
                <w:rFonts w:ascii="Verdana" w:hAnsi="Verdana"/>
                <w:noProof/>
                <w:sz w:val="20"/>
              </w:rPr>
              <w:drawing>
                <wp:inline distT="0" distB="0" distL="0" distR="0" wp14:anchorId="06A5673B" wp14:editId="1275E43B">
                  <wp:extent cx="251460" cy="213360"/>
                  <wp:effectExtent l="0" t="0" r="0" b="0"/>
                  <wp:docPr id="6" name="Image 6" descr="Macintosh HD:Users:tbruyere:Google Drive:fednot-sync:autre:email-signature:logos:images:email-signature_05.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bruyere:Google Drive:fednot-sync:autre:email-signature:logos:images:email-signature_05.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13360"/>
                          </a:xfrm>
                          <a:prstGeom prst="rect">
                            <a:avLst/>
                          </a:prstGeom>
                          <a:noFill/>
                          <a:ln>
                            <a:noFill/>
                          </a:ln>
                        </pic:spPr>
                      </pic:pic>
                    </a:graphicData>
                  </a:graphic>
                </wp:inline>
              </w:drawing>
            </w:r>
            <w:r w:rsidRPr="00F072F4">
              <w:rPr>
                <w:rFonts w:ascii="Verdana" w:hAnsi="Verdana"/>
                <w:noProof/>
                <w:sz w:val="20"/>
              </w:rPr>
              <w:drawing>
                <wp:inline distT="0" distB="0" distL="0" distR="0" wp14:anchorId="4FC15BD6" wp14:editId="47ED079E">
                  <wp:extent cx="251460" cy="213360"/>
                  <wp:effectExtent l="0" t="0" r="0" b="0"/>
                  <wp:docPr id="5" name="Image 5" descr="Macintosh HD:Users:tbruyere:Google Drive:fednot-sync:autre:email-signature:logos:images:email-signature_06.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bruyere:Google Drive:fednot-sync:autre:email-signature:logos:images:email-signature_06.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 cy="213360"/>
                          </a:xfrm>
                          <a:prstGeom prst="rect">
                            <a:avLst/>
                          </a:prstGeom>
                          <a:noFill/>
                          <a:ln>
                            <a:noFill/>
                          </a:ln>
                        </pic:spPr>
                      </pic:pic>
                    </a:graphicData>
                  </a:graphic>
                </wp:inline>
              </w:drawing>
            </w:r>
            <w:r w:rsidRPr="00F072F4">
              <w:rPr>
                <w:rFonts w:ascii="Verdana" w:hAnsi="Verdana"/>
                <w:noProof/>
                <w:sz w:val="20"/>
              </w:rPr>
              <w:drawing>
                <wp:inline distT="0" distB="0" distL="0" distR="0" wp14:anchorId="6B4A214C" wp14:editId="15EC45D7">
                  <wp:extent cx="243840" cy="213360"/>
                  <wp:effectExtent l="0" t="0" r="3810" b="0"/>
                  <wp:docPr id="3" name="Image 3" descr="Macintosh HD:Users:tbruyere:Google Drive:fednot-sync:autre:email-signature:logos:images:email-signature_07.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bruyere:Google Drive:fednot-sync:autre:email-signature:logos:images:email-signature_07.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F072F4">
              <w:rPr>
                <w:rFonts w:ascii="Verdana" w:hAnsi="Verdana"/>
                <w:noProof/>
                <w:sz w:val="20"/>
              </w:rPr>
              <w:drawing>
                <wp:inline distT="0" distB="0" distL="0" distR="0" wp14:anchorId="24400BDE" wp14:editId="4814176B">
                  <wp:extent cx="251460" cy="213360"/>
                  <wp:effectExtent l="0" t="0" r="0" b="0"/>
                  <wp:docPr id="2" name="Image 2" descr="Macintosh HD:Users:tbruyere:Google Drive:fednot-sync:autre:email-signature:logos:images:email-signature_08.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tbruyere:Google Drive:fednot-sync:autre:email-signature:logos:images:email-signature_08.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 cy="213360"/>
                          </a:xfrm>
                          <a:prstGeom prst="rect">
                            <a:avLst/>
                          </a:prstGeom>
                          <a:noFill/>
                          <a:ln>
                            <a:noFill/>
                          </a:ln>
                        </pic:spPr>
                      </pic:pic>
                    </a:graphicData>
                  </a:graphic>
                </wp:inline>
              </w:drawing>
            </w:r>
            <w:r w:rsidRPr="00F072F4">
              <w:rPr>
                <w:rFonts w:ascii="Verdana" w:hAnsi="Verdana"/>
                <w:noProof/>
                <w:sz w:val="20"/>
              </w:rPr>
              <w:drawing>
                <wp:inline distT="0" distB="0" distL="0" distR="0" wp14:anchorId="45D3408F" wp14:editId="54607BE0">
                  <wp:extent cx="708660" cy="213360"/>
                  <wp:effectExtent l="0" t="0" r="0" b="0"/>
                  <wp:docPr id="1" name="Image 1" descr="Macintosh HD:Users:tbruyere:Google Drive:fednot-sync:autre:email-signature:logos:images:email-signature_09.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tbruyere:Google Drive:fednot-sync:autre:email-signature:logos:images:email-signature_09.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8660" cy="213360"/>
                          </a:xfrm>
                          <a:prstGeom prst="rect">
                            <a:avLst/>
                          </a:prstGeom>
                          <a:noFill/>
                          <a:ln>
                            <a:noFill/>
                          </a:ln>
                        </pic:spPr>
                      </pic:pic>
                    </a:graphicData>
                  </a:graphic>
                </wp:inline>
              </w:drawing>
            </w:r>
          </w:p>
        </w:tc>
      </w:tr>
    </w:tbl>
    <w:p w14:paraId="14FB38EA" w14:textId="77777777" w:rsidR="00CE06C8" w:rsidRPr="00F072F4" w:rsidRDefault="00CE06C8" w:rsidP="006A0DE3">
      <w:pPr>
        <w:rPr>
          <w:sz w:val="20"/>
        </w:rPr>
      </w:pPr>
    </w:p>
    <w:sectPr w:rsidR="00CE06C8" w:rsidRPr="00F072F4" w:rsidSect="00692339">
      <w:headerReference w:type="default" r:id="rId2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255C" w14:textId="77777777" w:rsidR="00D03C71" w:rsidRDefault="00D03C71">
      <w:r>
        <w:separator/>
      </w:r>
    </w:p>
  </w:endnote>
  <w:endnote w:type="continuationSeparator" w:id="0">
    <w:p w14:paraId="5AEDD144" w14:textId="77777777" w:rsidR="00D03C71" w:rsidRDefault="00D0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72F6" w14:textId="77777777" w:rsidR="00D03C71" w:rsidRDefault="00D03C71">
      <w:r>
        <w:separator/>
      </w:r>
    </w:p>
  </w:footnote>
  <w:footnote w:type="continuationSeparator" w:id="0">
    <w:p w14:paraId="023CD59A" w14:textId="77777777" w:rsidR="00D03C71" w:rsidRDefault="00D0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65904" w:rsidRPr="003313CF" w14:paraId="59233516" w14:textId="77777777" w:rsidTr="00A22C7C">
      <w:tc>
        <w:tcPr>
          <w:tcW w:w="4508" w:type="dxa"/>
        </w:tcPr>
        <w:p w14:paraId="61A4AF83" w14:textId="2BB496AB" w:rsidR="00CE06C8" w:rsidRPr="0085783C" w:rsidRDefault="00CE06C8" w:rsidP="00865904">
          <w:pPr>
            <w:rPr>
              <w:b/>
              <w:sz w:val="20"/>
              <w:lang w:val="fr-BE"/>
            </w:rPr>
          </w:pPr>
          <w:r>
            <w:rPr>
              <w:rFonts w:ascii="Verdana" w:hAnsi="Verdana"/>
              <w:noProof/>
            </w:rPr>
            <w:drawing>
              <wp:inline distT="0" distB="0" distL="0" distR="0" wp14:anchorId="662EAF91" wp14:editId="28122FE9">
                <wp:extent cx="1287780" cy="387719"/>
                <wp:effectExtent l="0" t="0" r="7620" b="0"/>
                <wp:docPr id="9" name="Image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671" cy="406654"/>
                        </a:xfrm>
                        <a:prstGeom prst="rect">
                          <a:avLst/>
                        </a:prstGeom>
                        <a:noFill/>
                        <a:ln>
                          <a:noFill/>
                        </a:ln>
                      </pic:spPr>
                    </pic:pic>
                  </a:graphicData>
                </a:graphic>
              </wp:inline>
            </w:drawing>
          </w:r>
          <w:r w:rsidRPr="0085783C">
            <w:rPr>
              <w:b/>
              <w:sz w:val="20"/>
              <w:lang w:val="fr-BE"/>
            </w:rPr>
            <w:br/>
          </w:r>
          <w:r w:rsidR="00F53D3D" w:rsidRPr="00492485">
            <w:rPr>
              <w:b/>
              <w:sz w:val="20"/>
              <w:lang w:val="fr-BE"/>
            </w:rPr>
            <w:t xml:space="preserve">Communiqué de presse </w:t>
          </w:r>
          <w:r w:rsidR="009D329B">
            <w:rPr>
              <w:b/>
              <w:sz w:val="20"/>
              <w:lang w:val="fr-BE"/>
            </w:rPr>
            <w:t>10</w:t>
          </w:r>
          <w:r w:rsidR="002D69D8">
            <w:rPr>
              <w:b/>
              <w:sz w:val="20"/>
              <w:lang w:val="fr-BE"/>
            </w:rPr>
            <w:t xml:space="preserve"> octobre</w:t>
          </w:r>
          <w:r w:rsidR="00F53D3D">
            <w:rPr>
              <w:b/>
              <w:sz w:val="20"/>
              <w:lang w:val="fr-BE"/>
            </w:rPr>
            <w:t xml:space="preserve"> 2019</w:t>
          </w:r>
        </w:p>
        <w:p w14:paraId="23EEA079" w14:textId="77777777" w:rsidR="00865904" w:rsidRPr="00492485" w:rsidRDefault="0013388E" w:rsidP="00692339">
          <w:pPr>
            <w:rPr>
              <w:b/>
              <w:sz w:val="20"/>
              <w:lang w:val="fr-BE"/>
            </w:rPr>
          </w:pPr>
        </w:p>
      </w:tc>
      <w:tc>
        <w:tcPr>
          <w:tcW w:w="4508" w:type="dxa"/>
        </w:tcPr>
        <w:p w14:paraId="148F143B" w14:textId="3FFE0DDD" w:rsidR="00865904" w:rsidRPr="00492485" w:rsidRDefault="00453449" w:rsidP="00865904">
          <w:pPr>
            <w:jc w:val="right"/>
            <w:rPr>
              <w:b/>
              <w:sz w:val="20"/>
              <w:lang w:val="fr-BE"/>
            </w:rPr>
          </w:pPr>
          <w:r w:rsidRPr="00492485">
            <w:rPr>
              <w:b/>
              <w:sz w:val="20"/>
              <w:lang w:val="fr-BE"/>
            </w:rPr>
            <w:t xml:space="preserve"> </w:t>
          </w:r>
        </w:p>
        <w:p w14:paraId="72C6A575" w14:textId="77777777" w:rsidR="00692339" w:rsidRDefault="00692339" w:rsidP="00692339">
          <w:pPr>
            <w:rPr>
              <w:b/>
              <w:sz w:val="20"/>
              <w:lang w:val="fr-BE"/>
            </w:rPr>
          </w:pPr>
        </w:p>
        <w:p w14:paraId="5EEE1081" w14:textId="58C4EC5D" w:rsidR="00692339" w:rsidRDefault="00692339" w:rsidP="00692339">
          <w:pPr>
            <w:rPr>
              <w:i/>
              <w:sz w:val="16"/>
              <w:szCs w:val="16"/>
              <w:lang w:val="fr-BE"/>
            </w:rPr>
          </w:pPr>
          <w:r>
            <w:rPr>
              <w:b/>
              <w:sz w:val="20"/>
              <w:lang w:val="fr-BE"/>
            </w:rPr>
            <w:t xml:space="preserve">                          </w:t>
          </w:r>
          <w:r w:rsidR="00F53D3D" w:rsidRPr="00F53D3D">
            <w:rPr>
              <w:i/>
              <w:sz w:val="16"/>
              <w:szCs w:val="16"/>
              <w:lang w:val="fr-BE"/>
            </w:rPr>
            <w:t xml:space="preserve">Info presse : Tom </w:t>
          </w:r>
          <w:proofErr w:type="spellStart"/>
          <w:r w:rsidR="00F53D3D" w:rsidRPr="00F53D3D">
            <w:rPr>
              <w:i/>
              <w:sz w:val="16"/>
              <w:szCs w:val="16"/>
              <w:lang w:val="fr-BE"/>
            </w:rPr>
            <w:t>Jenné</w:t>
          </w:r>
          <w:proofErr w:type="spellEnd"/>
        </w:p>
        <w:p w14:paraId="15ACA074" w14:textId="71DC452A" w:rsidR="00F53D3D" w:rsidRDefault="00F53D3D" w:rsidP="00692339">
          <w:pPr>
            <w:rPr>
              <w:i/>
              <w:sz w:val="16"/>
              <w:szCs w:val="16"/>
              <w:lang w:val="fr-BE"/>
            </w:rPr>
          </w:pPr>
          <w:r>
            <w:rPr>
              <w:i/>
              <w:sz w:val="16"/>
              <w:szCs w:val="16"/>
              <w:lang w:val="fr-BE"/>
            </w:rPr>
            <w:t xml:space="preserve">                                Contact : 02/801.15.36 - 0472/76.10.61</w:t>
          </w:r>
        </w:p>
        <w:p w14:paraId="2EB7515A" w14:textId="6A678E4E" w:rsidR="00F53D3D" w:rsidRPr="00F53D3D" w:rsidRDefault="00F53D3D" w:rsidP="00692339">
          <w:pPr>
            <w:rPr>
              <w:i/>
              <w:sz w:val="16"/>
              <w:szCs w:val="16"/>
              <w:lang w:val="fr-BE"/>
            </w:rPr>
          </w:pPr>
          <w:r>
            <w:rPr>
              <w:i/>
              <w:sz w:val="16"/>
              <w:szCs w:val="16"/>
              <w:lang w:val="fr-BE"/>
            </w:rPr>
            <w:t xml:space="preserve">                                E-mail : tom.jenne@fednot.be</w:t>
          </w:r>
        </w:p>
        <w:p w14:paraId="5007DFD8" w14:textId="3695C4E6" w:rsidR="00865904" w:rsidRPr="00492485" w:rsidRDefault="0013388E" w:rsidP="00865904">
          <w:pPr>
            <w:jc w:val="center"/>
            <w:rPr>
              <w:b/>
              <w:sz w:val="20"/>
              <w:lang w:val="fr-BE"/>
            </w:rPr>
          </w:pPr>
        </w:p>
      </w:tc>
    </w:tr>
  </w:tbl>
  <w:p w14:paraId="36B8821B" w14:textId="1066B938" w:rsidR="00CE06C8" w:rsidRPr="00492485" w:rsidRDefault="006F61B7">
    <w:pPr>
      <w:rPr>
        <w:lang w:val="fr-BE"/>
      </w:rPr>
    </w:pPr>
    <w:r w:rsidRPr="009A4F93">
      <w:rPr>
        <w:b/>
        <w:noProof/>
        <w:sz w:val="20"/>
      </w:rPr>
      <mc:AlternateContent>
        <mc:Choice Requires="wps">
          <w:drawing>
            <wp:anchor distT="45720" distB="45720" distL="114300" distR="114300" simplePos="0" relativeHeight="251659264" behindDoc="1" locked="0" layoutInCell="1" allowOverlap="1" wp14:anchorId="76791F5E" wp14:editId="493DAE90">
              <wp:simplePos x="0" y="0"/>
              <wp:positionH relativeFrom="column">
                <wp:posOffset>3665220</wp:posOffset>
              </wp:positionH>
              <wp:positionV relativeFrom="page">
                <wp:posOffset>502920</wp:posOffset>
              </wp:positionV>
              <wp:extent cx="2377440" cy="6121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12140"/>
                      </a:xfrm>
                      <a:prstGeom prst="rect">
                        <a:avLst/>
                      </a:prstGeom>
                      <a:solidFill>
                        <a:srgbClr val="FFFFFF"/>
                      </a:solidFill>
                      <a:ln w="9525">
                        <a:noFill/>
                        <a:miter lim="800000"/>
                        <a:headEnd/>
                        <a:tailEnd/>
                      </a:ln>
                    </wps:spPr>
                    <wps:txbx>
                      <w:txbxContent>
                        <w:p w14:paraId="577A0096" w14:textId="495F0F63" w:rsidR="006F61B7" w:rsidRPr="009A4F93" w:rsidRDefault="006F61B7" w:rsidP="006F61B7">
                          <w:pPr>
                            <w:tabs>
                              <w:tab w:val="left" w:pos="192"/>
                              <w:tab w:val="center" w:pos="4513"/>
                            </w:tabs>
                            <w:rPr>
                              <w:i/>
                              <w:color w:val="222222"/>
                              <w:lang w:val="fr-FR"/>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791F5E" id="_x0000_t202" coordsize="21600,21600" o:spt="202" path="m,l,21600r21600,l21600,xe">
              <v:stroke joinstyle="miter"/>
              <v:path gradientshapeok="t" o:connecttype="rect"/>
            </v:shapetype>
            <v:shape id="Zone de texte 2" o:spid="_x0000_s1026" type="#_x0000_t202" style="position:absolute;margin-left:288.6pt;margin-top:39.6pt;width:187.2pt;height:48.2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" stroked="f">
              <v:textbox style="mso-fit-shape-to-text:t">
                <w:txbxContent>
                  <w:p w14:paraId="577A0096" w14:textId="495F0F63" w:rsidR="006F61B7" w:rsidRPr="009A4F93" w:rsidRDefault="006F61B7" w:rsidP="006F61B7">
                    <w:pPr>
                      <w:tabs>
                        <w:tab w:val="left" w:pos="192"/>
                        <w:tab w:val="center" w:pos="4513"/>
                      </w:tabs>
                      <w:rPr>
                        <w:i/>
                        <w:color w:val="222222"/>
                        <w:lang w:val="fr-FR"/>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78D"/>
    <w:multiLevelType w:val="hybridMultilevel"/>
    <w:tmpl w:val="96A0F9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775C5C"/>
    <w:multiLevelType w:val="hybridMultilevel"/>
    <w:tmpl w:val="A9209AAA"/>
    <w:lvl w:ilvl="0" w:tplc="8EFCEA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F443872"/>
    <w:multiLevelType w:val="hybridMultilevel"/>
    <w:tmpl w:val="8A4E5FBE"/>
    <w:lvl w:ilvl="0" w:tplc="89C847D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49"/>
    <w:rsid w:val="00035720"/>
    <w:rsid w:val="00041FB2"/>
    <w:rsid w:val="000567A0"/>
    <w:rsid w:val="0009423B"/>
    <w:rsid w:val="000B053C"/>
    <w:rsid w:val="000D1BE1"/>
    <w:rsid w:val="000E2C31"/>
    <w:rsid w:val="000E6520"/>
    <w:rsid w:val="000F0125"/>
    <w:rsid w:val="000F4857"/>
    <w:rsid w:val="00126B57"/>
    <w:rsid w:val="0013388E"/>
    <w:rsid w:val="00134D85"/>
    <w:rsid w:val="001355D3"/>
    <w:rsid w:val="00144268"/>
    <w:rsid w:val="00185D02"/>
    <w:rsid w:val="001953CA"/>
    <w:rsid w:val="001B17EF"/>
    <w:rsid w:val="00201E3D"/>
    <w:rsid w:val="002030E1"/>
    <w:rsid w:val="00230310"/>
    <w:rsid w:val="002C5781"/>
    <w:rsid w:val="002C65EB"/>
    <w:rsid w:val="002D69D8"/>
    <w:rsid w:val="002E5B28"/>
    <w:rsid w:val="002E7957"/>
    <w:rsid w:val="002F146C"/>
    <w:rsid w:val="00310D81"/>
    <w:rsid w:val="003313CF"/>
    <w:rsid w:val="00353C48"/>
    <w:rsid w:val="003819F8"/>
    <w:rsid w:val="003870A4"/>
    <w:rsid w:val="003E5059"/>
    <w:rsid w:val="00432CAA"/>
    <w:rsid w:val="0044031B"/>
    <w:rsid w:val="00453449"/>
    <w:rsid w:val="00453EF3"/>
    <w:rsid w:val="00492485"/>
    <w:rsid w:val="00492D1D"/>
    <w:rsid w:val="00496AD0"/>
    <w:rsid w:val="004B6591"/>
    <w:rsid w:val="004C31FF"/>
    <w:rsid w:val="004C3861"/>
    <w:rsid w:val="004E1367"/>
    <w:rsid w:val="005201FE"/>
    <w:rsid w:val="005310F3"/>
    <w:rsid w:val="00535CD8"/>
    <w:rsid w:val="0055295C"/>
    <w:rsid w:val="00582C9B"/>
    <w:rsid w:val="005B3BC8"/>
    <w:rsid w:val="005D0895"/>
    <w:rsid w:val="005D1FF1"/>
    <w:rsid w:val="005D6EBE"/>
    <w:rsid w:val="005E58CB"/>
    <w:rsid w:val="00621A57"/>
    <w:rsid w:val="00665506"/>
    <w:rsid w:val="006659CF"/>
    <w:rsid w:val="00670353"/>
    <w:rsid w:val="00692339"/>
    <w:rsid w:val="0069467B"/>
    <w:rsid w:val="006A0DE3"/>
    <w:rsid w:val="006E35A0"/>
    <w:rsid w:val="006F61B7"/>
    <w:rsid w:val="0073192A"/>
    <w:rsid w:val="0074287D"/>
    <w:rsid w:val="007441A3"/>
    <w:rsid w:val="00747B48"/>
    <w:rsid w:val="00770306"/>
    <w:rsid w:val="00783B2E"/>
    <w:rsid w:val="00785A68"/>
    <w:rsid w:val="00793F4E"/>
    <w:rsid w:val="007A1A9B"/>
    <w:rsid w:val="007E3B81"/>
    <w:rsid w:val="007F73DD"/>
    <w:rsid w:val="0085783C"/>
    <w:rsid w:val="0087341B"/>
    <w:rsid w:val="00876F8E"/>
    <w:rsid w:val="008C0E7A"/>
    <w:rsid w:val="008D31EB"/>
    <w:rsid w:val="009123E9"/>
    <w:rsid w:val="0091282C"/>
    <w:rsid w:val="00940507"/>
    <w:rsid w:val="00947365"/>
    <w:rsid w:val="0096263C"/>
    <w:rsid w:val="00964685"/>
    <w:rsid w:val="00986E43"/>
    <w:rsid w:val="0099495E"/>
    <w:rsid w:val="009B2674"/>
    <w:rsid w:val="009D329B"/>
    <w:rsid w:val="009F4664"/>
    <w:rsid w:val="00A15A5F"/>
    <w:rsid w:val="00A6744F"/>
    <w:rsid w:val="00A90992"/>
    <w:rsid w:val="00AC30F8"/>
    <w:rsid w:val="00AD4C65"/>
    <w:rsid w:val="00AD7DB1"/>
    <w:rsid w:val="00AE0A54"/>
    <w:rsid w:val="00AE7A96"/>
    <w:rsid w:val="00B11C9A"/>
    <w:rsid w:val="00B34049"/>
    <w:rsid w:val="00B4148D"/>
    <w:rsid w:val="00B470E1"/>
    <w:rsid w:val="00B56E0C"/>
    <w:rsid w:val="00B723D8"/>
    <w:rsid w:val="00B80A8F"/>
    <w:rsid w:val="00BA0463"/>
    <w:rsid w:val="00BA4F56"/>
    <w:rsid w:val="00BF1EEC"/>
    <w:rsid w:val="00C01AF1"/>
    <w:rsid w:val="00C26B8F"/>
    <w:rsid w:val="00C45F3F"/>
    <w:rsid w:val="00C67E16"/>
    <w:rsid w:val="00C838C1"/>
    <w:rsid w:val="00CE06C8"/>
    <w:rsid w:val="00D03C71"/>
    <w:rsid w:val="00D21141"/>
    <w:rsid w:val="00D465E5"/>
    <w:rsid w:val="00D46AB3"/>
    <w:rsid w:val="00D73F75"/>
    <w:rsid w:val="00D80705"/>
    <w:rsid w:val="00D861CE"/>
    <w:rsid w:val="00DA1D15"/>
    <w:rsid w:val="00DA277F"/>
    <w:rsid w:val="00DA2A46"/>
    <w:rsid w:val="00DD060F"/>
    <w:rsid w:val="00DE46D5"/>
    <w:rsid w:val="00E05692"/>
    <w:rsid w:val="00E4375D"/>
    <w:rsid w:val="00E70984"/>
    <w:rsid w:val="00E7155F"/>
    <w:rsid w:val="00E865AF"/>
    <w:rsid w:val="00EB57F4"/>
    <w:rsid w:val="00EE1DDD"/>
    <w:rsid w:val="00EE4D03"/>
    <w:rsid w:val="00EF19A5"/>
    <w:rsid w:val="00F063D2"/>
    <w:rsid w:val="00F072F4"/>
    <w:rsid w:val="00F0797A"/>
    <w:rsid w:val="00F53D3D"/>
    <w:rsid w:val="00F76440"/>
    <w:rsid w:val="00F9297A"/>
    <w:rsid w:val="00FB6B7B"/>
    <w:rsid w:val="00FB70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376C6C"/>
  <w15:chartTrackingRefBased/>
  <w15:docId w15:val="{02EC61F0-4485-43A4-9E09-6A78C2F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4"/>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61"/>
    <w:pPr>
      <w:spacing w:after="0" w:line="240" w:lineRule="auto"/>
    </w:pPr>
    <w:rPr>
      <w:rFonts w:ascii="Calibri" w:hAnsi="Calibri"/>
      <w:sz w:val="22"/>
      <w:szCs w:val="22"/>
      <w:lang w:val="en-US"/>
    </w:rPr>
  </w:style>
  <w:style w:type="paragraph" w:styleId="Heading1">
    <w:name w:val="heading 1"/>
    <w:basedOn w:val="Normal"/>
    <w:next w:val="Normal"/>
    <w:link w:val="Heading1Char"/>
    <w:uiPriority w:val="9"/>
    <w:qFormat/>
    <w:rsid w:val="00C01AF1"/>
    <w:pPr>
      <w:pBdr>
        <w:top w:val="single" w:sz="24" w:space="0" w:color="A5A5A5" w:themeColor="accent3"/>
        <w:left w:val="single" w:sz="24" w:space="0" w:color="A5A5A5" w:themeColor="accent3"/>
        <w:bottom w:val="single" w:sz="24" w:space="0" w:color="A5A5A5" w:themeColor="accent3"/>
        <w:right w:val="single" w:sz="24" w:space="0" w:color="A5A5A5" w:themeColor="accent3"/>
      </w:pBdr>
      <w:shd w:val="clear" w:color="auto" w:fill="A5A5A5" w:themeFill="accent3"/>
      <w:spacing w:before="100" w:line="276" w:lineRule="auto"/>
      <w:outlineLvl w:val="0"/>
    </w:pPr>
    <w:rPr>
      <w:rFonts w:asciiTheme="minorHAnsi" w:eastAsiaTheme="minorEastAsia" w:hAnsiTheme="minorHAnsi" w:cstheme="minorBidi"/>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449"/>
    <w:rPr>
      <w:color w:val="0563C1"/>
      <w:u w:val="single"/>
    </w:rPr>
  </w:style>
  <w:style w:type="table" w:styleId="TableGrid">
    <w:name w:val="Table Grid"/>
    <w:basedOn w:val="TableNormal"/>
    <w:uiPriority w:val="39"/>
    <w:rsid w:val="004534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3449"/>
    <w:pPr>
      <w:tabs>
        <w:tab w:val="center" w:pos="4153"/>
        <w:tab w:val="right" w:pos="8306"/>
      </w:tabs>
    </w:pPr>
    <w:rPr>
      <w:rFonts w:ascii="Times New Roman" w:eastAsia="Times New Roman" w:hAnsi="Times New Roman"/>
      <w:sz w:val="20"/>
      <w:szCs w:val="20"/>
      <w:lang w:val="fr-FR"/>
    </w:rPr>
  </w:style>
  <w:style w:type="character" w:customStyle="1" w:styleId="HeaderChar">
    <w:name w:val="Header Char"/>
    <w:basedOn w:val="DefaultParagraphFont"/>
    <w:link w:val="Header"/>
    <w:uiPriority w:val="99"/>
    <w:rsid w:val="00453449"/>
    <w:rPr>
      <w:rFonts w:ascii="Times New Roman" w:eastAsia="Times New Roman" w:hAnsi="Times New Roman"/>
      <w:sz w:val="20"/>
      <w:lang w:val="fr-FR"/>
    </w:rPr>
  </w:style>
  <w:style w:type="paragraph" w:styleId="Footer">
    <w:name w:val="footer"/>
    <w:basedOn w:val="Normal"/>
    <w:link w:val="FooterChar"/>
    <w:uiPriority w:val="99"/>
    <w:unhideWhenUsed/>
    <w:qFormat/>
    <w:rsid w:val="0073192A"/>
    <w:pPr>
      <w:tabs>
        <w:tab w:val="center" w:pos="4513"/>
        <w:tab w:val="right" w:pos="9026"/>
      </w:tabs>
    </w:pPr>
  </w:style>
  <w:style w:type="character" w:customStyle="1" w:styleId="FooterChar">
    <w:name w:val="Footer Char"/>
    <w:basedOn w:val="DefaultParagraphFont"/>
    <w:link w:val="Footer"/>
    <w:uiPriority w:val="99"/>
    <w:rsid w:val="0073192A"/>
    <w:rPr>
      <w:rFonts w:ascii="Calibri" w:hAnsi="Calibri"/>
      <w:sz w:val="22"/>
      <w:szCs w:val="22"/>
      <w:lang w:val="en-US"/>
    </w:rPr>
  </w:style>
  <w:style w:type="paragraph" w:styleId="BalloonText">
    <w:name w:val="Balloon Text"/>
    <w:basedOn w:val="Normal"/>
    <w:link w:val="BalloonTextChar"/>
    <w:uiPriority w:val="99"/>
    <w:semiHidden/>
    <w:unhideWhenUsed/>
    <w:rsid w:val="00B72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D8"/>
    <w:rPr>
      <w:rFonts w:ascii="Segoe UI" w:hAnsi="Segoe UI" w:cs="Segoe UI"/>
      <w:sz w:val="18"/>
      <w:szCs w:val="18"/>
      <w:lang w:val="en-US"/>
    </w:rPr>
  </w:style>
  <w:style w:type="character" w:styleId="CommentReference">
    <w:name w:val="annotation reference"/>
    <w:basedOn w:val="DefaultParagraphFont"/>
    <w:uiPriority w:val="99"/>
    <w:semiHidden/>
    <w:unhideWhenUsed/>
    <w:rsid w:val="00230310"/>
    <w:rPr>
      <w:sz w:val="16"/>
      <w:szCs w:val="16"/>
    </w:rPr>
  </w:style>
  <w:style w:type="paragraph" w:styleId="CommentText">
    <w:name w:val="annotation text"/>
    <w:basedOn w:val="Normal"/>
    <w:link w:val="CommentTextChar"/>
    <w:uiPriority w:val="99"/>
    <w:semiHidden/>
    <w:unhideWhenUsed/>
    <w:rsid w:val="00230310"/>
    <w:rPr>
      <w:sz w:val="20"/>
      <w:szCs w:val="20"/>
    </w:rPr>
  </w:style>
  <w:style w:type="character" w:customStyle="1" w:styleId="CommentTextChar">
    <w:name w:val="Comment Text Char"/>
    <w:basedOn w:val="DefaultParagraphFont"/>
    <w:link w:val="CommentText"/>
    <w:uiPriority w:val="99"/>
    <w:semiHidden/>
    <w:rsid w:val="00230310"/>
    <w:rPr>
      <w:rFonts w:ascii="Calibri" w:hAnsi="Calibri"/>
      <w:sz w:val="20"/>
      <w:lang w:val="en-US"/>
    </w:rPr>
  </w:style>
  <w:style w:type="paragraph" w:styleId="CommentSubject">
    <w:name w:val="annotation subject"/>
    <w:basedOn w:val="CommentText"/>
    <w:next w:val="CommentText"/>
    <w:link w:val="CommentSubjectChar"/>
    <w:uiPriority w:val="99"/>
    <w:semiHidden/>
    <w:unhideWhenUsed/>
    <w:rsid w:val="00230310"/>
    <w:rPr>
      <w:b/>
      <w:bCs/>
    </w:rPr>
  </w:style>
  <w:style w:type="character" w:customStyle="1" w:styleId="CommentSubjectChar">
    <w:name w:val="Comment Subject Char"/>
    <w:basedOn w:val="CommentTextChar"/>
    <w:link w:val="CommentSubject"/>
    <w:uiPriority w:val="99"/>
    <w:semiHidden/>
    <w:rsid w:val="00230310"/>
    <w:rPr>
      <w:rFonts w:ascii="Calibri" w:hAnsi="Calibri"/>
      <w:b/>
      <w:bCs/>
      <w:sz w:val="20"/>
      <w:lang w:val="en-US"/>
    </w:rPr>
  </w:style>
  <w:style w:type="paragraph" w:customStyle="1" w:styleId="Default">
    <w:name w:val="Default"/>
    <w:rsid w:val="00FB70BB"/>
    <w:pPr>
      <w:autoSpaceDE w:val="0"/>
      <w:autoSpaceDN w:val="0"/>
      <w:adjustRightInd w:val="0"/>
      <w:spacing w:after="0" w:line="240" w:lineRule="auto"/>
    </w:pPr>
    <w:rPr>
      <w:rFonts w:ascii="Arial" w:hAnsi="Arial" w:cs="Arial"/>
      <w:color w:val="000000"/>
      <w:szCs w:val="24"/>
    </w:rPr>
  </w:style>
  <w:style w:type="character" w:customStyle="1" w:styleId="Heading1Char">
    <w:name w:val="Heading 1 Char"/>
    <w:basedOn w:val="DefaultParagraphFont"/>
    <w:link w:val="Heading1"/>
    <w:uiPriority w:val="9"/>
    <w:rsid w:val="00C01AF1"/>
    <w:rPr>
      <w:rFonts w:asciiTheme="minorHAnsi" w:eastAsiaTheme="minorEastAsia" w:hAnsiTheme="minorHAnsi" w:cstheme="minorBidi"/>
      <w:caps/>
      <w:color w:val="FFFFFF" w:themeColor="background1"/>
      <w:spacing w:val="15"/>
      <w:sz w:val="22"/>
      <w:szCs w:val="22"/>
      <w:shd w:val="clear" w:color="auto" w:fill="A5A5A5" w:themeFill="accent3"/>
      <w:lang w:val="en-US"/>
    </w:rPr>
  </w:style>
  <w:style w:type="paragraph" w:styleId="Caption">
    <w:name w:val="caption"/>
    <w:basedOn w:val="Normal"/>
    <w:next w:val="Normal"/>
    <w:uiPriority w:val="35"/>
    <w:unhideWhenUsed/>
    <w:qFormat/>
    <w:rsid w:val="00EE1DDD"/>
    <w:pPr>
      <w:spacing w:before="100" w:after="200" w:line="276" w:lineRule="auto"/>
    </w:pPr>
    <w:rPr>
      <w:rFonts w:asciiTheme="minorHAnsi" w:eastAsiaTheme="minorEastAsia" w:hAnsiTheme="minorHAnsi" w:cstheme="minorBidi"/>
      <w:b/>
      <w:bCs/>
      <w:color w:val="A5A5A5" w:themeColor="accent3"/>
      <w:sz w:val="16"/>
      <w:szCs w:val="16"/>
    </w:rPr>
  </w:style>
  <w:style w:type="paragraph" w:styleId="HTMLPreformatted">
    <w:name w:val="HTML Preformatted"/>
    <w:basedOn w:val="Normal"/>
    <w:link w:val="HTMLPreformattedChar"/>
    <w:uiPriority w:val="99"/>
    <w:semiHidden/>
    <w:unhideWhenUsed/>
    <w:rsid w:val="00EE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EE1DDD"/>
    <w:rPr>
      <w:rFonts w:ascii="Courier New" w:eastAsia="Times New Roman" w:hAnsi="Courier New" w:cs="Courier New"/>
      <w:sz w:val="20"/>
      <w:lang w:val="nl-NL" w:eastAsia="nl-NL"/>
    </w:rPr>
  </w:style>
  <w:style w:type="paragraph" w:styleId="ListParagraph">
    <w:name w:val="List Paragraph"/>
    <w:basedOn w:val="Normal"/>
    <w:uiPriority w:val="34"/>
    <w:qFormat/>
    <w:rsid w:val="00EE1DDD"/>
    <w:pPr>
      <w:ind w:left="720"/>
      <w:contextualSpacing/>
    </w:pPr>
  </w:style>
  <w:style w:type="character" w:customStyle="1" w:styleId="Textedelespacerserv">
    <w:name w:val="Texte de l’espace réservé"/>
    <w:basedOn w:val="DefaultParagraphFont"/>
    <w:uiPriority w:val="99"/>
    <w:semiHidden/>
    <w:rsid w:val="00552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4357">
      <w:bodyDiv w:val="1"/>
      <w:marLeft w:val="0"/>
      <w:marRight w:val="0"/>
      <w:marTop w:val="0"/>
      <w:marBottom w:val="0"/>
      <w:divBdr>
        <w:top w:val="none" w:sz="0" w:space="0" w:color="auto"/>
        <w:left w:val="none" w:sz="0" w:space="0" w:color="auto"/>
        <w:bottom w:val="none" w:sz="0" w:space="0" w:color="auto"/>
        <w:right w:val="none" w:sz="0" w:space="0" w:color="auto"/>
      </w:divBdr>
    </w:div>
    <w:div w:id="486626865">
      <w:bodyDiv w:val="1"/>
      <w:marLeft w:val="0"/>
      <w:marRight w:val="0"/>
      <w:marTop w:val="0"/>
      <w:marBottom w:val="0"/>
      <w:divBdr>
        <w:top w:val="none" w:sz="0" w:space="0" w:color="auto"/>
        <w:left w:val="none" w:sz="0" w:space="0" w:color="auto"/>
        <w:bottom w:val="none" w:sz="0" w:space="0" w:color="auto"/>
        <w:right w:val="none" w:sz="0" w:space="0" w:color="auto"/>
      </w:divBdr>
    </w:div>
    <w:div w:id="740104596">
      <w:bodyDiv w:val="1"/>
      <w:marLeft w:val="0"/>
      <w:marRight w:val="0"/>
      <w:marTop w:val="0"/>
      <w:marBottom w:val="0"/>
      <w:divBdr>
        <w:top w:val="none" w:sz="0" w:space="0" w:color="auto"/>
        <w:left w:val="none" w:sz="0" w:space="0" w:color="auto"/>
        <w:bottom w:val="none" w:sz="0" w:space="0" w:color="auto"/>
        <w:right w:val="none" w:sz="0" w:space="0" w:color="auto"/>
      </w:divBdr>
    </w:div>
    <w:div w:id="1051269914">
      <w:bodyDiv w:val="1"/>
      <w:marLeft w:val="0"/>
      <w:marRight w:val="0"/>
      <w:marTop w:val="0"/>
      <w:marBottom w:val="0"/>
      <w:divBdr>
        <w:top w:val="none" w:sz="0" w:space="0" w:color="auto"/>
        <w:left w:val="none" w:sz="0" w:space="0" w:color="auto"/>
        <w:bottom w:val="none" w:sz="0" w:space="0" w:color="auto"/>
        <w:right w:val="none" w:sz="0" w:space="0" w:color="auto"/>
      </w:divBdr>
    </w:div>
    <w:div w:id="1074552982">
      <w:bodyDiv w:val="1"/>
      <w:marLeft w:val="0"/>
      <w:marRight w:val="0"/>
      <w:marTop w:val="0"/>
      <w:marBottom w:val="0"/>
      <w:divBdr>
        <w:top w:val="none" w:sz="0" w:space="0" w:color="auto"/>
        <w:left w:val="none" w:sz="0" w:space="0" w:color="auto"/>
        <w:bottom w:val="none" w:sz="0" w:space="0" w:color="auto"/>
        <w:right w:val="none" w:sz="0" w:space="0" w:color="auto"/>
      </w:divBdr>
    </w:div>
    <w:div w:id="1479150844">
      <w:bodyDiv w:val="1"/>
      <w:marLeft w:val="0"/>
      <w:marRight w:val="0"/>
      <w:marTop w:val="0"/>
      <w:marBottom w:val="0"/>
      <w:divBdr>
        <w:top w:val="none" w:sz="0" w:space="0" w:color="auto"/>
        <w:left w:val="none" w:sz="0" w:space="0" w:color="auto"/>
        <w:bottom w:val="none" w:sz="0" w:space="0" w:color="auto"/>
        <w:right w:val="none" w:sz="0" w:space="0" w:color="auto"/>
      </w:divBdr>
    </w:div>
    <w:div w:id="1549495030">
      <w:bodyDiv w:val="1"/>
      <w:marLeft w:val="0"/>
      <w:marRight w:val="0"/>
      <w:marTop w:val="0"/>
      <w:marBottom w:val="0"/>
      <w:divBdr>
        <w:top w:val="none" w:sz="0" w:space="0" w:color="auto"/>
        <w:left w:val="none" w:sz="0" w:space="0" w:color="auto"/>
        <w:bottom w:val="none" w:sz="0" w:space="0" w:color="auto"/>
        <w:right w:val="none" w:sz="0" w:space="0" w:color="auto"/>
      </w:divBdr>
    </w:div>
    <w:div w:id="1638880257">
      <w:bodyDiv w:val="1"/>
      <w:marLeft w:val="0"/>
      <w:marRight w:val="0"/>
      <w:marTop w:val="0"/>
      <w:marBottom w:val="0"/>
      <w:divBdr>
        <w:top w:val="none" w:sz="0" w:space="0" w:color="auto"/>
        <w:left w:val="none" w:sz="0" w:space="0" w:color="auto"/>
        <w:bottom w:val="none" w:sz="0" w:space="0" w:color="auto"/>
        <w:right w:val="none" w:sz="0" w:space="0" w:color="auto"/>
      </w:divBdr>
    </w:div>
    <w:div w:id="16607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ire.be" TargetMode="External"/><Relationship Id="rId13" Type="http://schemas.openxmlformats.org/officeDocument/2006/relationships/hyperlink" Target="https://fr-fr.facebook.com/LeNotair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user/notairetv"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twitter.com/notairefrnb?lang=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aire.be/"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linkedin.com/in/notaire-be-b776a57b/" TargetMode="External"/><Relationship Id="rId23" Type="http://schemas.openxmlformats.org/officeDocument/2006/relationships/hyperlink" Target="https://notabene-le-magazine.be/" TargetMode="External"/><Relationship Id="rId10" Type="http://schemas.openxmlformats.org/officeDocument/2006/relationships/hyperlink" Target="http://www.notaire.be" TargetMode="External"/><Relationship Id="rId19" Type="http://schemas.openxmlformats.org/officeDocument/2006/relationships/hyperlink" Target="https://www.instagram.com/notaire.be" TargetMode="External"/><Relationship Id="rId4" Type="http://schemas.openxmlformats.org/officeDocument/2006/relationships/settings" Target="settings.xml"/><Relationship Id="rId9" Type="http://schemas.openxmlformats.org/officeDocument/2006/relationships/hyperlink" Target="mailto:tom.jenne@fednot.be"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otai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C0B5-2993-4B1D-8961-F242FF27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2610</Characters>
  <Application>Microsoft Office Word</Application>
  <DocSecurity>4</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FRNB / KFBN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Jenné</dc:creator>
  <cp:keywords/>
  <dc:description/>
  <cp:lastModifiedBy>Lore Halbardier</cp:lastModifiedBy>
  <cp:revision>2</cp:revision>
  <cp:lastPrinted>2019-10-10T10:13:00Z</cp:lastPrinted>
  <dcterms:created xsi:type="dcterms:W3CDTF">2019-10-10T13:06:00Z</dcterms:created>
  <dcterms:modified xsi:type="dcterms:W3CDTF">2019-10-10T13:06:00Z</dcterms:modified>
</cp:coreProperties>
</file>